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57234" w14:textId="7CB0B6B0" w:rsidR="005D2D11" w:rsidRDefault="00117155" w:rsidP="00123332">
      <w:pPr>
        <w:ind w:left="4320"/>
        <w:rPr>
          <w:rFonts w:ascii="Tahoma" w:hAnsi="Tahoma" w:cs="Tahoma"/>
          <w:b/>
          <w:color w:val="000080"/>
          <w:sz w:val="68"/>
          <w:szCs w:val="68"/>
        </w:rPr>
      </w:pPr>
      <w:bookmarkStart w:id="0" w:name="OLE_LINK2"/>
      <w:bookmarkStart w:id="1" w:name="OLE_LINK3"/>
      <w:r w:rsidRPr="00E46859">
        <w:rPr>
          <w:rFonts w:ascii="Tahoma" w:hAnsi="Tahoma" w:cs="Tahoma"/>
          <w:b/>
          <w:noProof/>
          <w:color w:val="000080"/>
          <w:sz w:val="68"/>
          <w:szCs w:val="68"/>
        </w:rPr>
        <mc:AlternateContent>
          <mc:Choice Requires="wps">
            <w:drawing>
              <wp:anchor distT="0" distB="0" distL="114300" distR="114300" simplePos="0" relativeHeight="251658240" behindDoc="0" locked="0" layoutInCell="1" allowOverlap="1" wp14:anchorId="122D9C95" wp14:editId="4A1E04F3">
                <wp:simplePos x="0" y="0"/>
                <wp:positionH relativeFrom="column">
                  <wp:posOffset>0</wp:posOffset>
                </wp:positionH>
                <wp:positionV relativeFrom="paragraph">
                  <wp:posOffset>-114300</wp:posOffset>
                </wp:positionV>
                <wp:extent cx="2628900" cy="8947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94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468D" w14:textId="06F7425D" w:rsidR="00A45235" w:rsidRDefault="00117155" w:rsidP="00123332">
                            <w:r>
                              <w:rPr>
                                <w:noProof/>
                              </w:rPr>
                              <w:drawing>
                                <wp:inline distT="0" distB="0" distL="0" distR="0" wp14:anchorId="0ACDB162" wp14:editId="46DF7E26">
                                  <wp:extent cx="2438400" cy="884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84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D9C95" id="_x0000_t202" coordsize="21600,21600" o:spt="202" path="m,l,21600r21600,l21600,xe">
                <v:stroke joinstyle="miter"/>
                <v:path gradientshapeok="t" o:connecttype="rect"/>
              </v:shapetype>
              <v:shape id="Text Box 18" o:spid="_x0000_s1026" type="#_x0000_t202" style="position:absolute;left:0;text-align:left;margin-left:0;margin-top:-9pt;width:207pt;height:7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" filled="f" stroked="f">
                <v:textbox>
                  <w:txbxContent>
                    <w:p w14:paraId="6120468D" w14:textId="06F7425D" w:rsidR="00A45235" w:rsidRDefault="00117155" w:rsidP="00123332">
                      <w:r>
                        <w:rPr>
                          <w:noProof/>
                        </w:rPr>
                        <w:drawing>
                          <wp:inline distT="0" distB="0" distL="0" distR="0" wp14:anchorId="0ACDB162" wp14:editId="46DF7E26">
                            <wp:extent cx="2438400" cy="884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848725"/>
                                    </a:xfrm>
                                    <a:prstGeom prst="rect">
                                      <a:avLst/>
                                    </a:prstGeom>
                                    <a:noFill/>
                                    <a:ln>
                                      <a:noFill/>
                                    </a:ln>
                                  </pic:spPr>
                                </pic:pic>
                              </a:graphicData>
                            </a:graphic>
                          </wp:inline>
                        </w:drawing>
                      </w:r>
                    </w:p>
                  </w:txbxContent>
                </v:textbox>
              </v:shape>
            </w:pict>
          </mc:Fallback>
        </mc:AlternateContent>
      </w:r>
      <w:r w:rsidR="004161C5">
        <w:rPr>
          <w:rFonts w:ascii="Tahoma" w:hAnsi="Tahoma" w:cs="Tahoma"/>
          <w:b/>
          <w:color w:val="000080"/>
          <w:sz w:val="68"/>
          <w:szCs w:val="68"/>
        </w:rPr>
        <w:t>Comm</w:t>
      </w:r>
      <w:r w:rsidR="005D2D11">
        <w:rPr>
          <w:rFonts w:ascii="Tahoma" w:hAnsi="Tahoma" w:cs="Tahoma"/>
          <w:b/>
          <w:color w:val="000080"/>
          <w:sz w:val="68"/>
          <w:szCs w:val="68"/>
        </w:rPr>
        <w:t>unity</w:t>
      </w:r>
    </w:p>
    <w:p w14:paraId="62DB00B7" w14:textId="77777777" w:rsidR="00123332" w:rsidRPr="00E46859" w:rsidRDefault="00123332" w:rsidP="00123332">
      <w:pPr>
        <w:ind w:left="4320"/>
        <w:rPr>
          <w:rFonts w:ascii="Tahoma" w:hAnsi="Tahoma" w:cs="Tahoma"/>
          <w:b/>
          <w:color w:val="000080"/>
          <w:sz w:val="68"/>
          <w:szCs w:val="68"/>
        </w:rPr>
      </w:pPr>
      <w:r w:rsidRPr="00E46859">
        <w:rPr>
          <w:rFonts w:ascii="Tahoma" w:hAnsi="Tahoma" w:cs="Tahoma"/>
          <w:b/>
          <w:color w:val="000080"/>
          <w:sz w:val="68"/>
          <w:szCs w:val="68"/>
        </w:rPr>
        <w:t xml:space="preserve">Development </w:t>
      </w:r>
    </w:p>
    <w:p w14:paraId="06B765CB" w14:textId="77777777" w:rsidR="00123332" w:rsidRPr="00E46859" w:rsidRDefault="00123332" w:rsidP="00123332">
      <w:pPr>
        <w:ind w:left="4320"/>
        <w:rPr>
          <w:rFonts w:ascii="Tahoma" w:hAnsi="Tahoma" w:cs="Tahoma"/>
          <w:b/>
          <w:color w:val="000080"/>
          <w:sz w:val="68"/>
          <w:szCs w:val="68"/>
        </w:rPr>
      </w:pPr>
      <w:r w:rsidRPr="00E46859">
        <w:rPr>
          <w:rFonts w:ascii="Tahoma" w:hAnsi="Tahoma" w:cs="Tahoma"/>
          <w:b/>
          <w:color w:val="000080"/>
          <w:sz w:val="68"/>
          <w:szCs w:val="68"/>
        </w:rPr>
        <w:t xml:space="preserve">Block Grant </w:t>
      </w:r>
    </w:p>
    <w:p w14:paraId="44C8D325" w14:textId="77777777" w:rsidR="0025173E" w:rsidRDefault="0025173E" w:rsidP="00123332">
      <w:pPr>
        <w:ind w:left="4320"/>
        <w:rPr>
          <w:rFonts w:ascii="Arial" w:hAnsi="Arial" w:cs="Arial"/>
          <w:b/>
          <w:color w:val="000080"/>
        </w:rPr>
      </w:pPr>
    </w:p>
    <w:p w14:paraId="67590755" w14:textId="77777777" w:rsidR="0076644E" w:rsidRDefault="0076644E" w:rsidP="00123332">
      <w:pPr>
        <w:ind w:left="4320"/>
        <w:rPr>
          <w:rFonts w:ascii="Arial" w:hAnsi="Arial" w:cs="Arial"/>
          <w:b/>
          <w:color w:val="000080"/>
        </w:rPr>
      </w:pPr>
    </w:p>
    <w:p w14:paraId="5D7B405D" w14:textId="77777777" w:rsidR="0076644E" w:rsidRDefault="0076644E" w:rsidP="00123332">
      <w:pPr>
        <w:ind w:left="4320"/>
        <w:rPr>
          <w:rFonts w:ascii="Arial" w:hAnsi="Arial" w:cs="Arial"/>
          <w:b/>
          <w:color w:val="000080"/>
        </w:rPr>
      </w:pPr>
    </w:p>
    <w:p w14:paraId="5C610C9F" w14:textId="77777777" w:rsidR="0076644E" w:rsidRDefault="0076644E" w:rsidP="00123332">
      <w:pPr>
        <w:ind w:left="4320"/>
        <w:rPr>
          <w:rFonts w:ascii="Arial" w:hAnsi="Arial" w:cs="Arial"/>
          <w:b/>
          <w:color w:val="000080"/>
        </w:rPr>
      </w:pPr>
    </w:p>
    <w:p w14:paraId="122E0BA0" w14:textId="77777777" w:rsidR="0076644E" w:rsidRDefault="0076644E" w:rsidP="00123332">
      <w:pPr>
        <w:ind w:left="4320"/>
        <w:rPr>
          <w:rFonts w:ascii="Arial" w:hAnsi="Arial" w:cs="Arial"/>
          <w:b/>
          <w:color w:val="000080"/>
        </w:rPr>
      </w:pPr>
    </w:p>
    <w:p w14:paraId="0B80C721" w14:textId="77777777" w:rsidR="0076644E" w:rsidRPr="003F5375" w:rsidRDefault="0076644E" w:rsidP="00123332">
      <w:pPr>
        <w:ind w:left="4320"/>
        <w:rPr>
          <w:rFonts w:ascii="Arial" w:hAnsi="Arial" w:cs="Arial"/>
          <w:b/>
          <w:i/>
          <w:color w:val="000080"/>
          <w:u w:val="single"/>
        </w:rPr>
      </w:pPr>
    </w:p>
    <w:p w14:paraId="6663F3D5" w14:textId="77777777" w:rsidR="0076644E" w:rsidRPr="003F5375" w:rsidRDefault="0076644E" w:rsidP="00123332">
      <w:pPr>
        <w:ind w:left="4320"/>
        <w:rPr>
          <w:rFonts w:ascii="Tahoma" w:hAnsi="Tahoma" w:cs="Tahoma"/>
          <w:b/>
          <w:i/>
          <w:color w:val="000080"/>
          <w:sz w:val="60"/>
          <w:szCs w:val="60"/>
          <w:u w:val="single"/>
        </w:rPr>
      </w:pPr>
    </w:p>
    <w:p w14:paraId="238E3116" w14:textId="77777777" w:rsidR="0076644E" w:rsidRDefault="0076644E" w:rsidP="00123332">
      <w:pPr>
        <w:ind w:left="4320"/>
        <w:rPr>
          <w:rFonts w:ascii="Tahoma" w:hAnsi="Tahoma" w:cs="Tahoma"/>
          <w:b/>
          <w:color w:val="000080"/>
          <w:sz w:val="60"/>
          <w:szCs w:val="60"/>
        </w:rPr>
      </w:pPr>
    </w:p>
    <w:p w14:paraId="20FDD264" w14:textId="77777777" w:rsidR="00123332" w:rsidRDefault="00123332" w:rsidP="00123332">
      <w:pPr>
        <w:ind w:left="4320"/>
        <w:rPr>
          <w:rFonts w:ascii="Tahoma" w:hAnsi="Tahoma" w:cs="Tahoma"/>
          <w:b/>
          <w:color w:val="000080"/>
          <w:sz w:val="60"/>
          <w:szCs w:val="60"/>
        </w:rPr>
      </w:pPr>
      <w:r w:rsidRPr="00E46859">
        <w:rPr>
          <w:rFonts w:ascii="Tahoma" w:hAnsi="Tahoma" w:cs="Tahoma"/>
          <w:b/>
          <w:color w:val="000080"/>
          <w:sz w:val="60"/>
          <w:szCs w:val="60"/>
        </w:rPr>
        <w:t xml:space="preserve">Program Description </w:t>
      </w:r>
    </w:p>
    <w:p w14:paraId="447CFF0D" w14:textId="77777777" w:rsidR="00BA76A2" w:rsidRDefault="00BA76A2" w:rsidP="00123332">
      <w:pPr>
        <w:ind w:left="4320"/>
        <w:rPr>
          <w:rFonts w:ascii="Tahoma" w:hAnsi="Tahoma" w:cs="Tahoma"/>
          <w:b/>
          <w:color w:val="000080"/>
          <w:sz w:val="60"/>
          <w:szCs w:val="60"/>
        </w:rPr>
      </w:pPr>
    </w:p>
    <w:p w14:paraId="0A515C75" w14:textId="77777777" w:rsidR="00123332" w:rsidRPr="00E46859" w:rsidRDefault="0025173E" w:rsidP="00123332">
      <w:pPr>
        <w:ind w:left="4320"/>
        <w:rPr>
          <w:rFonts w:ascii="Arial" w:hAnsi="Arial" w:cs="Arial"/>
          <w:b/>
          <w:bCs/>
          <w:color w:val="000080"/>
          <w:kern w:val="28"/>
          <w:sz w:val="36"/>
          <w:szCs w:val="36"/>
        </w:rPr>
      </w:pPr>
      <w:r w:rsidRPr="00E46859">
        <w:rPr>
          <w:rFonts w:ascii="Arial" w:hAnsi="Arial" w:cs="Arial"/>
          <w:b/>
          <w:bCs/>
          <w:color w:val="000080"/>
          <w:kern w:val="28"/>
          <w:sz w:val="36"/>
          <w:szCs w:val="36"/>
        </w:rPr>
        <w:t>P</w:t>
      </w:r>
      <w:r w:rsidR="003C7E2E" w:rsidRPr="00E46859">
        <w:rPr>
          <w:rFonts w:ascii="Arial" w:hAnsi="Arial" w:cs="Arial"/>
          <w:b/>
          <w:bCs/>
          <w:color w:val="000080"/>
          <w:kern w:val="28"/>
          <w:sz w:val="36"/>
          <w:szCs w:val="36"/>
        </w:rPr>
        <w:t>rogram Year</w:t>
      </w:r>
    </w:p>
    <w:p w14:paraId="6E54B9F6" w14:textId="15F8CD33" w:rsidR="003C7E2E" w:rsidRPr="00E46859" w:rsidRDefault="002A56F1" w:rsidP="003C7E2E">
      <w:pPr>
        <w:spacing w:before="120"/>
        <w:ind w:left="4320" w:right="-360"/>
        <w:rPr>
          <w:rFonts w:ascii="Arial" w:hAnsi="Arial" w:cs="Arial"/>
          <w:b/>
          <w:bCs/>
          <w:color w:val="000080"/>
          <w:kern w:val="28"/>
          <w:sz w:val="36"/>
          <w:szCs w:val="36"/>
        </w:rPr>
      </w:pPr>
      <w:bookmarkStart w:id="2" w:name="_Toc158523815"/>
      <w:r>
        <w:rPr>
          <w:rFonts w:ascii="Arial" w:hAnsi="Arial" w:cs="Arial"/>
          <w:b/>
          <w:bCs/>
          <w:color w:val="000080"/>
          <w:kern w:val="28"/>
          <w:sz w:val="36"/>
          <w:szCs w:val="36"/>
        </w:rPr>
        <w:t xml:space="preserve">April 1, </w:t>
      </w:r>
      <w:r w:rsidR="00EB3A02">
        <w:rPr>
          <w:rFonts w:ascii="Arial" w:hAnsi="Arial" w:cs="Arial"/>
          <w:b/>
          <w:bCs/>
          <w:color w:val="000080"/>
          <w:kern w:val="28"/>
          <w:sz w:val="36"/>
          <w:szCs w:val="36"/>
        </w:rPr>
        <w:t>2024</w:t>
      </w:r>
      <w:r w:rsidR="00EB3A02" w:rsidRPr="00E46859">
        <w:rPr>
          <w:rFonts w:ascii="Arial" w:hAnsi="Arial" w:cs="Arial"/>
          <w:b/>
          <w:bCs/>
          <w:color w:val="000080"/>
          <w:kern w:val="28"/>
          <w:sz w:val="36"/>
          <w:szCs w:val="36"/>
        </w:rPr>
        <w:t xml:space="preserve"> </w:t>
      </w:r>
      <w:r w:rsidRPr="00E46859">
        <w:rPr>
          <w:rFonts w:ascii="Arial" w:hAnsi="Arial" w:cs="Arial"/>
          <w:b/>
          <w:bCs/>
          <w:color w:val="000080"/>
          <w:kern w:val="28"/>
          <w:sz w:val="36"/>
          <w:szCs w:val="36"/>
        </w:rPr>
        <w:t xml:space="preserve">- March 31, </w:t>
      </w:r>
      <w:bookmarkEnd w:id="2"/>
      <w:r w:rsidR="00EB3A02">
        <w:rPr>
          <w:rFonts w:ascii="Arial" w:hAnsi="Arial" w:cs="Arial"/>
          <w:b/>
          <w:bCs/>
          <w:color w:val="000080"/>
          <w:kern w:val="28"/>
          <w:sz w:val="36"/>
          <w:szCs w:val="36"/>
        </w:rPr>
        <w:t>2025</w:t>
      </w:r>
    </w:p>
    <w:p w14:paraId="436EFAD1" w14:textId="77777777" w:rsidR="00123332" w:rsidRDefault="00123332" w:rsidP="00123332">
      <w:pPr>
        <w:ind w:left="4320"/>
        <w:rPr>
          <w:rFonts w:ascii="Arial" w:hAnsi="Arial" w:cs="Arial"/>
          <w:bCs/>
          <w:color w:val="000080"/>
          <w:kern w:val="28"/>
          <w:sz w:val="32"/>
        </w:rPr>
      </w:pPr>
    </w:p>
    <w:p w14:paraId="5B3E2BF4" w14:textId="77777777" w:rsidR="00BD4AD6" w:rsidRDefault="00BD4AD6" w:rsidP="00123332">
      <w:pPr>
        <w:ind w:left="4320"/>
        <w:rPr>
          <w:rFonts w:ascii="Arial" w:hAnsi="Arial" w:cs="Arial"/>
          <w:bCs/>
          <w:color w:val="000080"/>
          <w:kern w:val="28"/>
          <w:sz w:val="32"/>
        </w:rPr>
      </w:pPr>
    </w:p>
    <w:p w14:paraId="7B292666" w14:textId="77777777" w:rsidR="00C849B4" w:rsidRPr="00E46859" w:rsidRDefault="00C849B4" w:rsidP="00123332">
      <w:pPr>
        <w:ind w:left="4320"/>
        <w:rPr>
          <w:rFonts w:ascii="Arial" w:hAnsi="Arial" w:cs="Arial"/>
          <w:bCs/>
          <w:color w:val="000080"/>
          <w:kern w:val="28"/>
          <w:sz w:val="32"/>
        </w:rPr>
      </w:pPr>
    </w:p>
    <w:p w14:paraId="74B3136F" w14:textId="77777777" w:rsidR="00123332" w:rsidRPr="00E46859" w:rsidRDefault="00123332" w:rsidP="00123332">
      <w:pPr>
        <w:ind w:left="4320"/>
        <w:rPr>
          <w:rFonts w:ascii="Arial" w:hAnsi="Arial" w:cs="Arial"/>
          <w:b/>
          <w:bCs/>
          <w:color w:val="000080"/>
          <w:kern w:val="28"/>
          <w:sz w:val="32"/>
        </w:rPr>
      </w:pPr>
      <w:bookmarkStart w:id="3" w:name="_Toc158523816"/>
      <w:r w:rsidRPr="00E46859">
        <w:rPr>
          <w:rFonts w:ascii="Arial" w:hAnsi="Arial" w:cs="Arial"/>
          <w:b/>
          <w:bCs/>
          <w:color w:val="000080"/>
          <w:kern w:val="28"/>
          <w:sz w:val="32"/>
        </w:rPr>
        <w:t>State of South Carolina</w:t>
      </w:r>
      <w:bookmarkEnd w:id="3"/>
    </w:p>
    <w:p w14:paraId="14FD773F" w14:textId="77777777" w:rsidR="00123332" w:rsidRPr="00E46859" w:rsidRDefault="00123332" w:rsidP="00123332">
      <w:pPr>
        <w:ind w:left="4320"/>
        <w:rPr>
          <w:rFonts w:ascii="Arial" w:hAnsi="Arial" w:cs="Arial"/>
          <w:b/>
          <w:bCs/>
          <w:color w:val="000080"/>
          <w:kern w:val="28"/>
          <w:sz w:val="32"/>
        </w:rPr>
      </w:pPr>
      <w:bookmarkStart w:id="4" w:name="_Toc158523817"/>
      <w:r w:rsidRPr="00E46859">
        <w:rPr>
          <w:rFonts w:ascii="Arial" w:hAnsi="Arial" w:cs="Arial"/>
          <w:b/>
          <w:bCs/>
          <w:color w:val="000080"/>
          <w:kern w:val="28"/>
          <w:sz w:val="32"/>
        </w:rPr>
        <w:t>Department of Commerce</w:t>
      </w:r>
      <w:bookmarkEnd w:id="4"/>
    </w:p>
    <w:p w14:paraId="230D256C" w14:textId="77777777" w:rsidR="00123332" w:rsidRPr="003C7E2E" w:rsidRDefault="00123332" w:rsidP="00123332">
      <w:pPr>
        <w:ind w:left="4320"/>
        <w:rPr>
          <w:rFonts w:ascii="Arial" w:hAnsi="Arial" w:cs="Arial"/>
        </w:rPr>
      </w:pPr>
    </w:p>
    <w:p w14:paraId="4A615BA7" w14:textId="77777777" w:rsidR="00123332" w:rsidRPr="0025173E" w:rsidRDefault="00C849B4" w:rsidP="00123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sz w:val="32"/>
        </w:rPr>
      </w:pPr>
      <w:r>
        <w:rPr>
          <w:rFonts w:ascii="Tahoma" w:hAnsi="Tahoma" w:cs="Tahoma"/>
          <w:b/>
          <w:sz w:val="32"/>
        </w:rPr>
        <w:br w:type="page"/>
      </w:r>
      <w:r w:rsidR="00CB3B20">
        <w:rPr>
          <w:rFonts w:ascii="Tahoma" w:hAnsi="Tahoma" w:cs="Tahoma"/>
          <w:b/>
          <w:sz w:val="32"/>
        </w:rPr>
        <w:lastRenderedPageBreak/>
        <w:br w:type="page"/>
      </w:r>
      <w:r w:rsidR="00123332" w:rsidRPr="0025173E">
        <w:rPr>
          <w:rFonts w:ascii="Tahoma" w:hAnsi="Tahoma" w:cs="Tahoma"/>
          <w:b/>
          <w:sz w:val="32"/>
        </w:rPr>
        <w:lastRenderedPageBreak/>
        <w:t>State of South Carolina</w:t>
      </w:r>
    </w:p>
    <w:p w14:paraId="42FE7D2F" w14:textId="725271D2" w:rsidR="00123332" w:rsidRPr="0025173E" w:rsidRDefault="00123332" w:rsidP="70D26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b/>
          <w:bCs/>
          <w:sz w:val="32"/>
          <w:szCs w:val="32"/>
        </w:rPr>
      </w:pPr>
      <w:r w:rsidRPr="70D26724">
        <w:rPr>
          <w:rFonts w:ascii="Tahoma" w:hAnsi="Tahoma" w:cs="Tahoma"/>
          <w:b/>
          <w:bCs/>
          <w:sz w:val="32"/>
          <w:szCs w:val="32"/>
        </w:rPr>
        <w:t>Department of Comme</w:t>
      </w:r>
      <w:r w:rsidR="00FA43A1">
        <w:rPr>
          <w:rFonts w:ascii="Tahoma" w:hAnsi="Tahoma" w:cs="Tahoma"/>
          <w:b/>
          <w:bCs/>
          <w:sz w:val="32"/>
          <w:szCs w:val="32"/>
        </w:rPr>
        <w:t xml:space="preserve">rce </w:t>
      </w:r>
      <w:r w:rsidR="00FA43A1">
        <w:rPr>
          <w:rFonts w:ascii="Tahoma" w:hAnsi="Tahoma" w:cs="Tahoma"/>
          <w:b/>
          <w:bCs/>
          <w:sz w:val="32"/>
          <w:szCs w:val="32"/>
        </w:rPr>
        <w:br/>
      </w:r>
    </w:p>
    <w:p w14:paraId="381543A6" w14:textId="77777777" w:rsidR="00123332" w:rsidRPr="0025173E" w:rsidRDefault="00123332" w:rsidP="00123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8"/>
        </w:rPr>
      </w:pPr>
    </w:p>
    <w:p w14:paraId="22D10D66" w14:textId="77777777" w:rsidR="0025173E" w:rsidRPr="0025173E" w:rsidRDefault="0025173E" w:rsidP="00123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8"/>
          <w:szCs w:val="28"/>
        </w:rPr>
      </w:pPr>
    </w:p>
    <w:p w14:paraId="48FBD094" w14:textId="77777777" w:rsidR="00123332" w:rsidRPr="0025173E" w:rsidRDefault="00123332" w:rsidP="00123332">
      <w:pPr>
        <w:rPr>
          <w:rFonts w:ascii="Arial" w:hAnsi="Arial" w:cs="Arial"/>
          <w:b/>
          <w:sz w:val="28"/>
          <w:szCs w:val="28"/>
        </w:rPr>
      </w:pPr>
      <w:r w:rsidRPr="0025173E">
        <w:rPr>
          <w:rFonts w:ascii="Arial" w:hAnsi="Arial" w:cs="Arial"/>
          <w:b/>
          <w:sz w:val="28"/>
          <w:szCs w:val="28"/>
        </w:rPr>
        <w:t>1201 Main Street, Suite 1600</w:t>
      </w:r>
    </w:p>
    <w:p w14:paraId="7F7DA563" w14:textId="77777777" w:rsidR="00123332" w:rsidRPr="0025173E" w:rsidRDefault="00123332" w:rsidP="00123332">
      <w:pPr>
        <w:rPr>
          <w:rFonts w:ascii="Arial" w:hAnsi="Arial" w:cs="Arial"/>
          <w:b/>
          <w:sz w:val="28"/>
          <w:szCs w:val="28"/>
        </w:rPr>
      </w:pPr>
      <w:r w:rsidRPr="0025173E">
        <w:rPr>
          <w:rFonts w:ascii="Arial" w:hAnsi="Arial" w:cs="Arial"/>
          <w:b/>
          <w:sz w:val="28"/>
          <w:szCs w:val="28"/>
        </w:rPr>
        <w:t>Columbia, South Carolina  29201</w:t>
      </w:r>
    </w:p>
    <w:p w14:paraId="123ECF30" w14:textId="77777777" w:rsidR="00123332" w:rsidRPr="0025173E" w:rsidRDefault="00123332" w:rsidP="00123332">
      <w:pPr>
        <w:rPr>
          <w:rFonts w:ascii="Arial" w:hAnsi="Arial" w:cs="Arial"/>
          <w:b/>
          <w:sz w:val="28"/>
          <w:szCs w:val="28"/>
        </w:rPr>
      </w:pPr>
    </w:p>
    <w:p w14:paraId="0E9F209C" w14:textId="77777777" w:rsidR="00123332" w:rsidRPr="00C00597" w:rsidRDefault="00123332" w:rsidP="00123332">
      <w:pPr>
        <w:rPr>
          <w:rFonts w:ascii="Arial" w:hAnsi="Arial" w:cs="Arial"/>
          <w:b/>
        </w:rPr>
      </w:pPr>
      <w:r w:rsidRPr="00C00597">
        <w:rPr>
          <w:rFonts w:ascii="Arial" w:hAnsi="Arial" w:cs="Arial"/>
          <w:b/>
        </w:rPr>
        <w:t>Phone: (803) 734-0429</w:t>
      </w:r>
    </w:p>
    <w:p w14:paraId="09B2AEAE" w14:textId="3316B25B" w:rsidR="00123332" w:rsidRPr="00C00597" w:rsidRDefault="003A2F54" w:rsidP="00123332">
      <w:pPr>
        <w:rPr>
          <w:rFonts w:ascii="Arial" w:hAnsi="Arial" w:cs="Arial"/>
          <w:b/>
        </w:rPr>
      </w:pPr>
      <w:r w:rsidRPr="00C00597">
        <w:rPr>
          <w:rFonts w:ascii="Arial" w:hAnsi="Arial" w:cs="Arial"/>
          <w:b/>
        </w:rPr>
        <w:t>E-Fax:  (888) 623-0167</w:t>
      </w:r>
      <w:r w:rsidR="00123332" w:rsidRPr="00C00597">
        <w:rPr>
          <w:rFonts w:ascii="Arial" w:hAnsi="Arial" w:cs="Arial"/>
          <w:b/>
        </w:rPr>
        <w:t xml:space="preserve">  </w:t>
      </w:r>
    </w:p>
    <w:p w14:paraId="26E410EB" w14:textId="2B06A242" w:rsidR="00123332" w:rsidRPr="00C00597" w:rsidRDefault="00C00597" w:rsidP="00123332">
      <w:pPr>
        <w:rPr>
          <w:rFonts w:ascii="Arial" w:hAnsi="Arial" w:cs="Arial"/>
          <w:b/>
        </w:rPr>
      </w:pPr>
      <w:r w:rsidRPr="00C00597">
        <w:rPr>
          <w:rFonts w:ascii="Arial" w:hAnsi="Arial" w:cs="Arial"/>
          <w:b/>
        </w:rPr>
        <w:t>Telecommunications Relay Services for hearing/speech impaired – Dial 711</w:t>
      </w:r>
    </w:p>
    <w:p w14:paraId="1669DAB2" w14:textId="77777777" w:rsidR="00123332" w:rsidRPr="0025173E" w:rsidRDefault="00123332" w:rsidP="00123332">
      <w:pPr>
        <w:rPr>
          <w:rFonts w:ascii="Arial" w:hAnsi="Arial" w:cs="Arial"/>
          <w:b/>
          <w:sz w:val="28"/>
          <w:szCs w:val="28"/>
        </w:rPr>
      </w:pPr>
    </w:p>
    <w:p w14:paraId="75F7918A" w14:textId="77777777" w:rsidR="00123332" w:rsidRPr="0025173E" w:rsidRDefault="00123332" w:rsidP="00123332">
      <w:pPr>
        <w:rPr>
          <w:rFonts w:ascii="Arial" w:hAnsi="Arial" w:cs="Arial"/>
          <w:b/>
          <w:sz w:val="28"/>
          <w:szCs w:val="28"/>
        </w:rPr>
      </w:pPr>
    </w:p>
    <w:p w14:paraId="359741C9" w14:textId="77777777" w:rsidR="00F23A10" w:rsidRDefault="00F23A10" w:rsidP="00123332">
      <w:pPr>
        <w:rPr>
          <w:rFonts w:ascii="Arial" w:hAnsi="Arial" w:cs="Arial"/>
          <w:b/>
          <w:sz w:val="28"/>
          <w:szCs w:val="28"/>
        </w:rPr>
      </w:pPr>
    </w:p>
    <w:p w14:paraId="06C3902B" w14:textId="77777777" w:rsidR="00F23A10" w:rsidRDefault="00000000" w:rsidP="00123332">
      <w:pPr>
        <w:rPr>
          <w:rFonts w:ascii="Arial" w:hAnsi="Arial" w:cs="Arial"/>
          <w:b/>
          <w:sz w:val="28"/>
          <w:szCs w:val="28"/>
        </w:rPr>
      </w:pPr>
      <w:hyperlink r:id="rId12" w:history="1">
        <w:r w:rsidR="00F23A10" w:rsidRPr="001E515B">
          <w:rPr>
            <w:rStyle w:val="Hyperlink"/>
            <w:rFonts w:ascii="Arial" w:hAnsi="Arial" w:cs="Arial"/>
            <w:b/>
            <w:sz w:val="28"/>
            <w:szCs w:val="28"/>
          </w:rPr>
          <w:t>www.cdbgSC.com</w:t>
        </w:r>
      </w:hyperlink>
    </w:p>
    <w:p w14:paraId="177E746D" w14:textId="77777777" w:rsidR="00F23A10" w:rsidRPr="0025173E" w:rsidRDefault="00F23A10" w:rsidP="00123332">
      <w:pPr>
        <w:rPr>
          <w:rFonts w:ascii="Arial" w:hAnsi="Arial" w:cs="Arial"/>
          <w:b/>
          <w:sz w:val="28"/>
          <w:szCs w:val="28"/>
        </w:rPr>
      </w:pPr>
    </w:p>
    <w:p w14:paraId="694532EA" w14:textId="77777777" w:rsidR="00123332" w:rsidRDefault="00123332" w:rsidP="00123332">
      <w:pPr>
        <w:ind w:left="4320"/>
      </w:pPr>
      <w:r>
        <w:br w:type="page"/>
      </w:r>
    </w:p>
    <w:p w14:paraId="1EBF397D" w14:textId="77777777" w:rsidR="00123332" w:rsidRDefault="00123332" w:rsidP="00123332">
      <w:pPr>
        <w:ind w:left="4320"/>
        <w:sectPr w:rsidR="00123332" w:rsidSect="00960D95">
          <w:pgSz w:w="12240" w:h="15840"/>
          <w:pgMar w:top="1440" w:right="1440" w:bottom="1440" w:left="1440" w:header="720" w:footer="720" w:gutter="0"/>
          <w:cols w:space="720"/>
          <w:docGrid w:linePitch="360"/>
        </w:sectPr>
      </w:pPr>
    </w:p>
    <w:p w14:paraId="290D3B44" w14:textId="126C14B1" w:rsidR="00123332" w:rsidRPr="007B2717" w:rsidRDefault="00117155" w:rsidP="00F33758">
      <w:pPr>
        <w:pStyle w:val="HeaderTOC"/>
      </w:pPr>
      <w:r>
        <w:rPr>
          <w:noProof/>
        </w:rPr>
        <w:lastRenderedPageBreak/>
        <mc:AlternateContent>
          <mc:Choice Requires="wps">
            <w:drawing>
              <wp:anchor distT="0" distB="0" distL="114300" distR="114300" simplePos="0" relativeHeight="251658242" behindDoc="1" locked="0" layoutInCell="1" allowOverlap="1" wp14:anchorId="7ADCB2C7" wp14:editId="75211D40">
                <wp:simplePos x="0" y="0"/>
                <wp:positionH relativeFrom="column">
                  <wp:posOffset>0</wp:posOffset>
                </wp:positionH>
                <wp:positionV relativeFrom="paragraph">
                  <wp:posOffset>114300</wp:posOffset>
                </wp:positionV>
                <wp:extent cx="6126480" cy="328930"/>
                <wp:effectExtent l="0" t="0" r="0"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289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E4A70" id="Rectangle 17" o:spid="_x0000_s1026" style="position:absolute;margin-left:0;margin-top:9pt;width:482.4pt;height:25.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" fillcolor="#969696" stroked="f"/>
            </w:pict>
          </mc:Fallback>
        </mc:AlternateContent>
      </w:r>
      <w:r w:rsidR="00123332" w:rsidRPr="007B2717">
        <w:t>Table of Contents</w:t>
      </w:r>
    </w:p>
    <w:p w14:paraId="7BA764C9" w14:textId="77777777" w:rsidR="00123332" w:rsidRDefault="00123332" w:rsidP="00123332">
      <w:pPr>
        <w:jc w:val="center"/>
        <w:rPr>
          <w:rFonts w:ascii="Book Antiqua" w:hAnsi="Book Antiqua"/>
          <w:sz w:val="22"/>
        </w:rPr>
      </w:pPr>
    </w:p>
    <w:p w14:paraId="547D0C68" w14:textId="0EBB1D26" w:rsidR="00595459" w:rsidRDefault="0025173E">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"2-2" \h \z \t "Heading 1,1,Heading 3,4,Heading2B,3" </w:instrText>
      </w:r>
      <w:r>
        <w:fldChar w:fldCharType="separate"/>
      </w:r>
      <w:hyperlink w:anchor="_Toc153828329" w:history="1">
        <w:r w:rsidR="00595459" w:rsidRPr="0034357D">
          <w:rPr>
            <w:rStyle w:val="Hyperlink"/>
            <w:noProof/>
          </w:rPr>
          <w:t>Overview</w:t>
        </w:r>
        <w:r w:rsidR="00595459">
          <w:rPr>
            <w:noProof/>
            <w:webHidden/>
          </w:rPr>
          <w:tab/>
        </w:r>
        <w:r w:rsidR="00595459">
          <w:rPr>
            <w:noProof/>
            <w:webHidden/>
          </w:rPr>
          <w:fldChar w:fldCharType="begin"/>
        </w:r>
        <w:r w:rsidR="00595459">
          <w:rPr>
            <w:noProof/>
            <w:webHidden/>
          </w:rPr>
          <w:instrText xml:space="preserve"> PAGEREF _Toc153828329 \h </w:instrText>
        </w:r>
        <w:r w:rsidR="00595459">
          <w:rPr>
            <w:noProof/>
            <w:webHidden/>
          </w:rPr>
        </w:r>
        <w:r w:rsidR="00595459">
          <w:rPr>
            <w:noProof/>
            <w:webHidden/>
          </w:rPr>
          <w:fldChar w:fldCharType="separate"/>
        </w:r>
        <w:r w:rsidR="00595459">
          <w:rPr>
            <w:noProof/>
            <w:webHidden/>
          </w:rPr>
          <w:t>1</w:t>
        </w:r>
        <w:r w:rsidR="00595459">
          <w:rPr>
            <w:noProof/>
            <w:webHidden/>
          </w:rPr>
          <w:fldChar w:fldCharType="end"/>
        </w:r>
      </w:hyperlink>
    </w:p>
    <w:p w14:paraId="5C51CCF8" w14:textId="782DFE97"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0" w:history="1">
        <w:r w:rsidR="00595459" w:rsidRPr="0034357D">
          <w:rPr>
            <w:rStyle w:val="Hyperlink"/>
            <w:noProof/>
          </w:rPr>
          <w:t>CDBG Program Goals and Outcomes</w:t>
        </w:r>
        <w:r w:rsidR="00595459">
          <w:rPr>
            <w:noProof/>
            <w:webHidden/>
          </w:rPr>
          <w:tab/>
        </w:r>
        <w:r w:rsidR="00595459">
          <w:rPr>
            <w:noProof/>
            <w:webHidden/>
          </w:rPr>
          <w:fldChar w:fldCharType="begin"/>
        </w:r>
        <w:r w:rsidR="00595459">
          <w:rPr>
            <w:noProof/>
            <w:webHidden/>
          </w:rPr>
          <w:instrText xml:space="preserve"> PAGEREF _Toc153828330 \h </w:instrText>
        </w:r>
        <w:r w:rsidR="00595459">
          <w:rPr>
            <w:noProof/>
            <w:webHidden/>
          </w:rPr>
        </w:r>
        <w:r w:rsidR="00595459">
          <w:rPr>
            <w:noProof/>
            <w:webHidden/>
          </w:rPr>
          <w:fldChar w:fldCharType="separate"/>
        </w:r>
        <w:r w:rsidR="00595459">
          <w:rPr>
            <w:noProof/>
            <w:webHidden/>
          </w:rPr>
          <w:t>1</w:t>
        </w:r>
        <w:r w:rsidR="00595459">
          <w:rPr>
            <w:noProof/>
            <w:webHidden/>
          </w:rPr>
          <w:fldChar w:fldCharType="end"/>
        </w:r>
      </w:hyperlink>
    </w:p>
    <w:p w14:paraId="4931221B" w14:textId="091DED8C"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1" w:history="1">
        <w:r w:rsidR="00595459" w:rsidRPr="0034357D">
          <w:rPr>
            <w:rStyle w:val="Hyperlink"/>
            <w:noProof/>
          </w:rPr>
          <w:t>National Objectives</w:t>
        </w:r>
        <w:r w:rsidR="00595459">
          <w:rPr>
            <w:noProof/>
            <w:webHidden/>
          </w:rPr>
          <w:tab/>
        </w:r>
        <w:r w:rsidR="00595459">
          <w:rPr>
            <w:noProof/>
            <w:webHidden/>
          </w:rPr>
          <w:fldChar w:fldCharType="begin"/>
        </w:r>
        <w:r w:rsidR="00595459">
          <w:rPr>
            <w:noProof/>
            <w:webHidden/>
          </w:rPr>
          <w:instrText xml:space="preserve"> PAGEREF _Toc153828331 \h </w:instrText>
        </w:r>
        <w:r w:rsidR="00595459">
          <w:rPr>
            <w:noProof/>
            <w:webHidden/>
          </w:rPr>
        </w:r>
        <w:r w:rsidR="00595459">
          <w:rPr>
            <w:noProof/>
            <w:webHidden/>
          </w:rPr>
          <w:fldChar w:fldCharType="separate"/>
        </w:r>
        <w:r w:rsidR="00595459">
          <w:rPr>
            <w:noProof/>
            <w:webHidden/>
          </w:rPr>
          <w:t>2</w:t>
        </w:r>
        <w:r w:rsidR="00595459">
          <w:rPr>
            <w:noProof/>
            <w:webHidden/>
          </w:rPr>
          <w:fldChar w:fldCharType="end"/>
        </w:r>
      </w:hyperlink>
    </w:p>
    <w:p w14:paraId="7CF641BE" w14:textId="61A5DECF"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2" w:history="1">
        <w:r w:rsidR="00595459" w:rsidRPr="0034357D">
          <w:rPr>
            <w:rStyle w:val="Hyperlink"/>
            <w:noProof/>
          </w:rPr>
          <w:t>Eligible Applicants</w:t>
        </w:r>
        <w:r w:rsidR="00595459">
          <w:rPr>
            <w:noProof/>
            <w:webHidden/>
          </w:rPr>
          <w:tab/>
        </w:r>
        <w:r w:rsidR="00595459">
          <w:rPr>
            <w:noProof/>
            <w:webHidden/>
          </w:rPr>
          <w:fldChar w:fldCharType="begin"/>
        </w:r>
        <w:r w:rsidR="00595459">
          <w:rPr>
            <w:noProof/>
            <w:webHidden/>
          </w:rPr>
          <w:instrText xml:space="preserve"> PAGEREF _Toc153828332 \h </w:instrText>
        </w:r>
        <w:r w:rsidR="00595459">
          <w:rPr>
            <w:noProof/>
            <w:webHidden/>
          </w:rPr>
        </w:r>
        <w:r w:rsidR="00595459">
          <w:rPr>
            <w:noProof/>
            <w:webHidden/>
          </w:rPr>
          <w:fldChar w:fldCharType="separate"/>
        </w:r>
        <w:r w:rsidR="00595459">
          <w:rPr>
            <w:noProof/>
            <w:webHidden/>
          </w:rPr>
          <w:t>3</w:t>
        </w:r>
        <w:r w:rsidR="00595459">
          <w:rPr>
            <w:noProof/>
            <w:webHidden/>
          </w:rPr>
          <w:fldChar w:fldCharType="end"/>
        </w:r>
      </w:hyperlink>
    </w:p>
    <w:p w14:paraId="0E45115C" w14:textId="756A15B7"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3" w:history="1">
        <w:r w:rsidR="00595459" w:rsidRPr="0034357D">
          <w:rPr>
            <w:rStyle w:val="Hyperlink"/>
            <w:noProof/>
          </w:rPr>
          <w:t>Types of Applications</w:t>
        </w:r>
        <w:r w:rsidR="00595459">
          <w:rPr>
            <w:noProof/>
            <w:webHidden/>
          </w:rPr>
          <w:tab/>
        </w:r>
        <w:r w:rsidR="00595459">
          <w:rPr>
            <w:noProof/>
            <w:webHidden/>
          </w:rPr>
          <w:fldChar w:fldCharType="begin"/>
        </w:r>
        <w:r w:rsidR="00595459">
          <w:rPr>
            <w:noProof/>
            <w:webHidden/>
          </w:rPr>
          <w:instrText xml:space="preserve"> PAGEREF _Toc153828333 \h </w:instrText>
        </w:r>
        <w:r w:rsidR="00595459">
          <w:rPr>
            <w:noProof/>
            <w:webHidden/>
          </w:rPr>
        </w:r>
        <w:r w:rsidR="00595459">
          <w:rPr>
            <w:noProof/>
            <w:webHidden/>
          </w:rPr>
          <w:fldChar w:fldCharType="separate"/>
        </w:r>
        <w:r w:rsidR="00595459">
          <w:rPr>
            <w:noProof/>
            <w:webHidden/>
          </w:rPr>
          <w:t>3</w:t>
        </w:r>
        <w:r w:rsidR="00595459">
          <w:rPr>
            <w:noProof/>
            <w:webHidden/>
          </w:rPr>
          <w:fldChar w:fldCharType="end"/>
        </w:r>
      </w:hyperlink>
    </w:p>
    <w:p w14:paraId="0AB7A94D" w14:textId="44402B04"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4" w:history="1">
        <w:r w:rsidR="00595459" w:rsidRPr="0034357D">
          <w:rPr>
            <w:rStyle w:val="Hyperlink"/>
            <w:noProof/>
          </w:rPr>
          <w:t>Eligible Activities</w:t>
        </w:r>
        <w:r w:rsidR="00595459">
          <w:rPr>
            <w:noProof/>
            <w:webHidden/>
          </w:rPr>
          <w:tab/>
        </w:r>
        <w:r w:rsidR="00595459">
          <w:rPr>
            <w:noProof/>
            <w:webHidden/>
          </w:rPr>
          <w:fldChar w:fldCharType="begin"/>
        </w:r>
        <w:r w:rsidR="00595459">
          <w:rPr>
            <w:noProof/>
            <w:webHidden/>
          </w:rPr>
          <w:instrText xml:space="preserve"> PAGEREF _Toc153828334 \h </w:instrText>
        </w:r>
        <w:r w:rsidR="00595459">
          <w:rPr>
            <w:noProof/>
            <w:webHidden/>
          </w:rPr>
        </w:r>
        <w:r w:rsidR="00595459">
          <w:rPr>
            <w:noProof/>
            <w:webHidden/>
          </w:rPr>
          <w:fldChar w:fldCharType="separate"/>
        </w:r>
        <w:r w:rsidR="00595459">
          <w:rPr>
            <w:noProof/>
            <w:webHidden/>
          </w:rPr>
          <w:t>4</w:t>
        </w:r>
        <w:r w:rsidR="00595459">
          <w:rPr>
            <w:noProof/>
            <w:webHidden/>
          </w:rPr>
          <w:fldChar w:fldCharType="end"/>
        </w:r>
      </w:hyperlink>
    </w:p>
    <w:p w14:paraId="42E6AF43" w14:textId="2C93F898"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5" w:history="1">
        <w:r w:rsidR="00595459" w:rsidRPr="0034357D">
          <w:rPr>
            <w:rStyle w:val="Hyperlink"/>
            <w:noProof/>
          </w:rPr>
          <w:t>General Requirements</w:t>
        </w:r>
        <w:r w:rsidR="00595459">
          <w:rPr>
            <w:noProof/>
            <w:webHidden/>
          </w:rPr>
          <w:tab/>
        </w:r>
        <w:r w:rsidR="00595459">
          <w:rPr>
            <w:noProof/>
            <w:webHidden/>
          </w:rPr>
          <w:fldChar w:fldCharType="begin"/>
        </w:r>
        <w:r w:rsidR="00595459">
          <w:rPr>
            <w:noProof/>
            <w:webHidden/>
          </w:rPr>
          <w:instrText xml:space="preserve"> PAGEREF _Toc153828335 \h </w:instrText>
        </w:r>
        <w:r w:rsidR="00595459">
          <w:rPr>
            <w:noProof/>
            <w:webHidden/>
          </w:rPr>
        </w:r>
        <w:r w:rsidR="00595459">
          <w:rPr>
            <w:noProof/>
            <w:webHidden/>
          </w:rPr>
          <w:fldChar w:fldCharType="separate"/>
        </w:r>
        <w:r w:rsidR="00595459">
          <w:rPr>
            <w:noProof/>
            <w:webHidden/>
          </w:rPr>
          <w:t>5</w:t>
        </w:r>
        <w:r w:rsidR="00595459">
          <w:rPr>
            <w:noProof/>
            <w:webHidden/>
          </w:rPr>
          <w:fldChar w:fldCharType="end"/>
        </w:r>
      </w:hyperlink>
    </w:p>
    <w:p w14:paraId="26DE7156" w14:textId="7FBDB025"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6" w:history="1">
        <w:r w:rsidR="00595459" w:rsidRPr="0034357D">
          <w:rPr>
            <w:rStyle w:val="Hyperlink"/>
            <w:noProof/>
          </w:rPr>
          <w:t>Access to State Records and Program Information</w:t>
        </w:r>
        <w:r w:rsidR="00595459">
          <w:rPr>
            <w:noProof/>
            <w:webHidden/>
          </w:rPr>
          <w:tab/>
        </w:r>
        <w:r w:rsidR="00595459">
          <w:rPr>
            <w:noProof/>
            <w:webHidden/>
          </w:rPr>
          <w:fldChar w:fldCharType="begin"/>
        </w:r>
        <w:r w:rsidR="00595459">
          <w:rPr>
            <w:noProof/>
            <w:webHidden/>
          </w:rPr>
          <w:instrText xml:space="preserve"> PAGEREF _Toc153828336 \h </w:instrText>
        </w:r>
        <w:r w:rsidR="00595459">
          <w:rPr>
            <w:noProof/>
            <w:webHidden/>
          </w:rPr>
        </w:r>
        <w:r w:rsidR="00595459">
          <w:rPr>
            <w:noProof/>
            <w:webHidden/>
          </w:rPr>
          <w:fldChar w:fldCharType="separate"/>
        </w:r>
        <w:r w:rsidR="00595459">
          <w:rPr>
            <w:noProof/>
            <w:webHidden/>
          </w:rPr>
          <w:t>6</w:t>
        </w:r>
        <w:r w:rsidR="00595459">
          <w:rPr>
            <w:noProof/>
            <w:webHidden/>
          </w:rPr>
          <w:fldChar w:fldCharType="end"/>
        </w:r>
      </w:hyperlink>
    </w:p>
    <w:p w14:paraId="3EAEBB78" w14:textId="4DFBEEE2"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7" w:history="1">
        <w:r w:rsidR="00595459" w:rsidRPr="0034357D">
          <w:rPr>
            <w:rStyle w:val="Hyperlink"/>
            <w:noProof/>
          </w:rPr>
          <w:t>Funding Distribution</w:t>
        </w:r>
        <w:r w:rsidR="00595459">
          <w:rPr>
            <w:noProof/>
            <w:webHidden/>
          </w:rPr>
          <w:tab/>
        </w:r>
        <w:r w:rsidR="00595459">
          <w:rPr>
            <w:noProof/>
            <w:webHidden/>
          </w:rPr>
          <w:fldChar w:fldCharType="begin"/>
        </w:r>
        <w:r w:rsidR="00595459">
          <w:rPr>
            <w:noProof/>
            <w:webHidden/>
          </w:rPr>
          <w:instrText xml:space="preserve"> PAGEREF _Toc153828337 \h </w:instrText>
        </w:r>
        <w:r w:rsidR="00595459">
          <w:rPr>
            <w:noProof/>
            <w:webHidden/>
          </w:rPr>
        </w:r>
        <w:r w:rsidR="00595459">
          <w:rPr>
            <w:noProof/>
            <w:webHidden/>
          </w:rPr>
          <w:fldChar w:fldCharType="separate"/>
        </w:r>
        <w:r w:rsidR="00595459">
          <w:rPr>
            <w:noProof/>
            <w:webHidden/>
          </w:rPr>
          <w:t>6</w:t>
        </w:r>
        <w:r w:rsidR="00595459">
          <w:rPr>
            <w:noProof/>
            <w:webHidden/>
          </w:rPr>
          <w:fldChar w:fldCharType="end"/>
        </w:r>
      </w:hyperlink>
    </w:p>
    <w:p w14:paraId="505AD285" w14:textId="1A721554"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8" w:history="1">
        <w:r w:rsidR="00595459" w:rsidRPr="0034357D">
          <w:rPr>
            <w:rStyle w:val="Hyperlink"/>
            <w:noProof/>
          </w:rPr>
          <w:t>Distribution of Additional Allocations, Reallocated, Recaptured and Remaining Funds</w:t>
        </w:r>
        <w:r w:rsidR="00595459">
          <w:rPr>
            <w:noProof/>
            <w:webHidden/>
          </w:rPr>
          <w:tab/>
        </w:r>
        <w:r w:rsidR="00595459">
          <w:rPr>
            <w:noProof/>
            <w:webHidden/>
          </w:rPr>
          <w:fldChar w:fldCharType="begin"/>
        </w:r>
        <w:r w:rsidR="00595459">
          <w:rPr>
            <w:noProof/>
            <w:webHidden/>
          </w:rPr>
          <w:instrText xml:space="preserve"> PAGEREF _Toc153828338 \h </w:instrText>
        </w:r>
        <w:r w:rsidR="00595459">
          <w:rPr>
            <w:noProof/>
            <w:webHidden/>
          </w:rPr>
        </w:r>
        <w:r w:rsidR="00595459">
          <w:rPr>
            <w:noProof/>
            <w:webHidden/>
          </w:rPr>
          <w:fldChar w:fldCharType="separate"/>
        </w:r>
        <w:r w:rsidR="00595459">
          <w:rPr>
            <w:noProof/>
            <w:webHidden/>
          </w:rPr>
          <w:t>8</w:t>
        </w:r>
        <w:r w:rsidR="00595459">
          <w:rPr>
            <w:noProof/>
            <w:webHidden/>
          </w:rPr>
          <w:fldChar w:fldCharType="end"/>
        </w:r>
      </w:hyperlink>
    </w:p>
    <w:p w14:paraId="474B0FAF" w14:textId="7180955D"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39" w:history="1">
        <w:r w:rsidR="00595459" w:rsidRPr="0034357D">
          <w:rPr>
            <w:rStyle w:val="Hyperlink"/>
            <w:noProof/>
          </w:rPr>
          <w:t>Program Income</w:t>
        </w:r>
        <w:r w:rsidR="00595459">
          <w:rPr>
            <w:noProof/>
            <w:webHidden/>
          </w:rPr>
          <w:tab/>
        </w:r>
        <w:r w:rsidR="00595459">
          <w:rPr>
            <w:noProof/>
            <w:webHidden/>
          </w:rPr>
          <w:fldChar w:fldCharType="begin"/>
        </w:r>
        <w:r w:rsidR="00595459">
          <w:rPr>
            <w:noProof/>
            <w:webHidden/>
          </w:rPr>
          <w:instrText xml:space="preserve"> PAGEREF _Toc153828339 \h </w:instrText>
        </w:r>
        <w:r w:rsidR="00595459">
          <w:rPr>
            <w:noProof/>
            <w:webHidden/>
          </w:rPr>
        </w:r>
        <w:r w:rsidR="00595459">
          <w:rPr>
            <w:noProof/>
            <w:webHidden/>
          </w:rPr>
          <w:fldChar w:fldCharType="separate"/>
        </w:r>
        <w:r w:rsidR="00595459">
          <w:rPr>
            <w:noProof/>
            <w:webHidden/>
          </w:rPr>
          <w:t>8</w:t>
        </w:r>
        <w:r w:rsidR="00595459">
          <w:rPr>
            <w:noProof/>
            <w:webHidden/>
          </w:rPr>
          <w:fldChar w:fldCharType="end"/>
        </w:r>
      </w:hyperlink>
    </w:p>
    <w:p w14:paraId="25A57E79" w14:textId="3A2454A6" w:rsidR="00595459" w:rsidRDefault="00000000">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53828340" w:history="1">
        <w:r w:rsidR="00595459" w:rsidRPr="0034357D">
          <w:rPr>
            <w:rStyle w:val="Hyperlink"/>
            <w:noProof/>
          </w:rPr>
          <w:t>Grant Program Categories</w:t>
        </w:r>
        <w:r w:rsidR="00595459">
          <w:rPr>
            <w:noProof/>
            <w:webHidden/>
          </w:rPr>
          <w:tab/>
        </w:r>
        <w:r w:rsidR="00595459">
          <w:rPr>
            <w:noProof/>
            <w:webHidden/>
          </w:rPr>
          <w:fldChar w:fldCharType="begin"/>
        </w:r>
        <w:r w:rsidR="00595459">
          <w:rPr>
            <w:noProof/>
            <w:webHidden/>
          </w:rPr>
          <w:instrText xml:space="preserve"> PAGEREF _Toc153828340 \h </w:instrText>
        </w:r>
        <w:r w:rsidR="00595459">
          <w:rPr>
            <w:noProof/>
            <w:webHidden/>
          </w:rPr>
        </w:r>
        <w:r w:rsidR="00595459">
          <w:rPr>
            <w:noProof/>
            <w:webHidden/>
          </w:rPr>
          <w:fldChar w:fldCharType="separate"/>
        </w:r>
        <w:r w:rsidR="00595459">
          <w:rPr>
            <w:noProof/>
            <w:webHidden/>
          </w:rPr>
          <w:t>9</w:t>
        </w:r>
        <w:r w:rsidR="00595459">
          <w:rPr>
            <w:noProof/>
            <w:webHidden/>
          </w:rPr>
          <w:fldChar w:fldCharType="end"/>
        </w:r>
      </w:hyperlink>
    </w:p>
    <w:p w14:paraId="58F1AFE3" w14:textId="3EECF4A5" w:rsidR="00595459" w:rsidRDefault="00000000">
      <w:pPr>
        <w:pStyle w:val="TOC2"/>
        <w:rPr>
          <w:rFonts w:asciiTheme="minorHAnsi" w:eastAsiaTheme="minorEastAsia" w:hAnsiTheme="minorHAnsi" w:cstheme="minorBidi"/>
          <w:kern w:val="2"/>
          <w:sz w:val="22"/>
          <w:szCs w:val="22"/>
          <w14:ligatures w14:val="standardContextual"/>
        </w:rPr>
      </w:pPr>
      <w:hyperlink w:anchor="_Toc153828341" w:history="1">
        <w:r w:rsidR="00595459" w:rsidRPr="0034357D">
          <w:rPr>
            <w:rStyle w:val="Hyperlink"/>
          </w:rPr>
          <w:t>Community Development Programs</w:t>
        </w:r>
        <w:r w:rsidR="00595459">
          <w:rPr>
            <w:webHidden/>
          </w:rPr>
          <w:tab/>
        </w:r>
        <w:r w:rsidR="00595459">
          <w:rPr>
            <w:webHidden/>
          </w:rPr>
          <w:fldChar w:fldCharType="begin"/>
        </w:r>
        <w:r w:rsidR="00595459">
          <w:rPr>
            <w:webHidden/>
          </w:rPr>
          <w:instrText xml:space="preserve"> PAGEREF _Toc153828341 \h </w:instrText>
        </w:r>
        <w:r w:rsidR="00595459">
          <w:rPr>
            <w:webHidden/>
          </w:rPr>
        </w:r>
        <w:r w:rsidR="00595459">
          <w:rPr>
            <w:webHidden/>
          </w:rPr>
          <w:fldChar w:fldCharType="separate"/>
        </w:r>
        <w:r w:rsidR="00595459">
          <w:rPr>
            <w:webHidden/>
          </w:rPr>
          <w:t>10</w:t>
        </w:r>
        <w:r w:rsidR="00595459">
          <w:rPr>
            <w:webHidden/>
          </w:rPr>
          <w:fldChar w:fldCharType="end"/>
        </w:r>
      </w:hyperlink>
    </w:p>
    <w:p w14:paraId="4AF57FB1" w14:textId="621E7E89" w:rsidR="00595459" w:rsidRDefault="00000000" w:rsidP="00595459">
      <w:pPr>
        <w:pStyle w:val="TOC2"/>
        <w:rPr>
          <w:rFonts w:asciiTheme="minorHAnsi" w:eastAsiaTheme="minorEastAsia" w:hAnsiTheme="minorHAnsi" w:cstheme="minorBidi"/>
          <w:kern w:val="2"/>
          <w:sz w:val="22"/>
          <w:szCs w:val="22"/>
          <w14:ligatures w14:val="standardContextual"/>
        </w:rPr>
      </w:pPr>
      <w:hyperlink w:anchor="_Toc153828342" w:history="1">
        <w:r w:rsidR="00595459" w:rsidRPr="0034357D">
          <w:rPr>
            <w:rStyle w:val="Hyperlink"/>
          </w:rPr>
          <w:t>Community Infrastructure</w:t>
        </w:r>
        <w:r w:rsidR="00595459">
          <w:rPr>
            <w:webHidden/>
          </w:rPr>
          <w:tab/>
        </w:r>
        <w:r w:rsidR="00595459">
          <w:rPr>
            <w:webHidden/>
          </w:rPr>
          <w:fldChar w:fldCharType="begin"/>
        </w:r>
        <w:r w:rsidR="00595459">
          <w:rPr>
            <w:webHidden/>
          </w:rPr>
          <w:instrText xml:space="preserve"> PAGEREF _Toc153828342 \h </w:instrText>
        </w:r>
        <w:r w:rsidR="00595459">
          <w:rPr>
            <w:webHidden/>
          </w:rPr>
        </w:r>
        <w:r w:rsidR="00595459">
          <w:rPr>
            <w:webHidden/>
          </w:rPr>
          <w:fldChar w:fldCharType="separate"/>
        </w:r>
        <w:r w:rsidR="00595459">
          <w:rPr>
            <w:webHidden/>
          </w:rPr>
          <w:t>10</w:t>
        </w:r>
        <w:r w:rsidR="00595459">
          <w:rPr>
            <w:webHidden/>
          </w:rPr>
          <w:fldChar w:fldCharType="end"/>
        </w:r>
      </w:hyperlink>
    </w:p>
    <w:p w14:paraId="4730762D" w14:textId="3262CB56" w:rsidR="00595459" w:rsidRDefault="00000000" w:rsidP="00595459">
      <w:pPr>
        <w:pStyle w:val="TOC2"/>
        <w:rPr>
          <w:rFonts w:asciiTheme="minorHAnsi" w:eastAsiaTheme="minorEastAsia" w:hAnsiTheme="minorHAnsi" w:cstheme="minorBidi"/>
          <w:kern w:val="2"/>
          <w:sz w:val="22"/>
          <w:szCs w:val="22"/>
          <w14:ligatures w14:val="standardContextual"/>
        </w:rPr>
      </w:pPr>
      <w:hyperlink w:anchor="_Toc153828343" w:history="1">
        <w:r w:rsidR="00595459" w:rsidRPr="0034357D">
          <w:rPr>
            <w:rStyle w:val="Hyperlink"/>
          </w:rPr>
          <w:t>Community Enrichment</w:t>
        </w:r>
        <w:r w:rsidR="00595459">
          <w:rPr>
            <w:webHidden/>
          </w:rPr>
          <w:tab/>
        </w:r>
        <w:r w:rsidR="00595459">
          <w:rPr>
            <w:webHidden/>
          </w:rPr>
          <w:fldChar w:fldCharType="begin"/>
        </w:r>
        <w:r w:rsidR="00595459">
          <w:rPr>
            <w:webHidden/>
          </w:rPr>
          <w:instrText xml:space="preserve"> PAGEREF _Toc153828343 \h </w:instrText>
        </w:r>
        <w:r w:rsidR="00595459">
          <w:rPr>
            <w:webHidden/>
          </w:rPr>
        </w:r>
        <w:r w:rsidR="00595459">
          <w:rPr>
            <w:webHidden/>
          </w:rPr>
          <w:fldChar w:fldCharType="separate"/>
        </w:r>
        <w:r w:rsidR="00595459">
          <w:rPr>
            <w:webHidden/>
          </w:rPr>
          <w:t>11</w:t>
        </w:r>
        <w:r w:rsidR="00595459">
          <w:rPr>
            <w:webHidden/>
          </w:rPr>
          <w:fldChar w:fldCharType="end"/>
        </w:r>
      </w:hyperlink>
    </w:p>
    <w:p w14:paraId="29328420" w14:textId="681C1409" w:rsidR="00595459" w:rsidRDefault="00000000" w:rsidP="00595459">
      <w:pPr>
        <w:pStyle w:val="TOC2"/>
        <w:rPr>
          <w:rFonts w:asciiTheme="minorHAnsi" w:eastAsiaTheme="minorEastAsia" w:hAnsiTheme="minorHAnsi" w:cstheme="minorBidi"/>
          <w:kern w:val="2"/>
          <w:sz w:val="22"/>
          <w:szCs w:val="22"/>
          <w14:ligatures w14:val="standardContextual"/>
        </w:rPr>
      </w:pPr>
      <w:hyperlink w:anchor="_Toc153828344" w:history="1">
        <w:r w:rsidR="00595459" w:rsidRPr="0034357D">
          <w:rPr>
            <w:rStyle w:val="Hyperlink"/>
          </w:rPr>
          <w:t>Local Priorities Program</w:t>
        </w:r>
        <w:r w:rsidR="00595459">
          <w:rPr>
            <w:webHidden/>
          </w:rPr>
          <w:tab/>
        </w:r>
        <w:r w:rsidR="00595459">
          <w:rPr>
            <w:webHidden/>
          </w:rPr>
          <w:fldChar w:fldCharType="begin"/>
        </w:r>
        <w:r w:rsidR="00595459">
          <w:rPr>
            <w:webHidden/>
          </w:rPr>
          <w:instrText xml:space="preserve"> PAGEREF _Toc153828344 \h </w:instrText>
        </w:r>
        <w:r w:rsidR="00595459">
          <w:rPr>
            <w:webHidden/>
          </w:rPr>
        </w:r>
        <w:r w:rsidR="00595459">
          <w:rPr>
            <w:webHidden/>
          </w:rPr>
          <w:fldChar w:fldCharType="separate"/>
        </w:r>
        <w:r w:rsidR="00595459">
          <w:rPr>
            <w:webHidden/>
          </w:rPr>
          <w:t>12</w:t>
        </w:r>
        <w:r w:rsidR="00595459">
          <w:rPr>
            <w:webHidden/>
          </w:rPr>
          <w:fldChar w:fldCharType="end"/>
        </w:r>
      </w:hyperlink>
    </w:p>
    <w:p w14:paraId="1203890F" w14:textId="40DEC143" w:rsidR="00595459" w:rsidRDefault="00000000" w:rsidP="00595459">
      <w:pPr>
        <w:pStyle w:val="TOC2"/>
        <w:rPr>
          <w:rFonts w:asciiTheme="minorHAnsi" w:eastAsiaTheme="minorEastAsia" w:hAnsiTheme="minorHAnsi" w:cstheme="minorBidi"/>
          <w:kern w:val="2"/>
          <w:sz w:val="22"/>
          <w:szCs w:val="22"/>
          <w14:ligatures w14:val="standardContextual"/>
        </w:rPr>
      </w:pPr>
      <w:hyperlink w:anchor="_Toc153828345" w:history="1">
        <w:r w:rsidR="00595459" w:rsidRPr="0034357D">
          <w:rPr>
            <w:rStyle w:val="Hyperlink"/>
          </w:rPr>
          <w:t>Ready to Go</w:t>
        </w:r>
        <w:r w:rsidR="00595459">
          <w:rPr>
            <w:webHidden/>
          </w:rPr>
          <w:tab/>
        </w:r>
        <w:r w:rsidR="00595459">
          <w:rPr>
            <w:webHidden/>
          </w:rPr>
          <w:fldChar w:fldCharType="begin"/>
        </w:r>
        <w:r w:rsidR="00595459">
          <w:rPr>
            <w:webHidden/>
          </w:rPr>
          <w:instrText xml:space="preserve"> PAGEREF _Toc153828345 \h </w:instrText>
        </w:r>
        <w:r w:rsidR="00595459">
          <w:rPr>
            <w:webHidden/>
          </w:rPr>
        </w:r>
        <w:r w:rsidR="00595459">
          <w:rPr>
            <w:webHidden/>
          </w:rPr>
          <w:fldChar w:fldCharType="separate"/>
        </w:r>
        <w:r w:rsidR="00595459">
          <w:rPr>
            <w:webHidden/>
          </w:rPr>
          <w:t>13</w:t>
        </w:r>
        <w:r w:rsidR="00595459">
          <w:rPr>
            <w:webHidden/>
          </w:rPr>
          <w:fldChar w:fldCharType="end"/>
        </w:r>
      </w:hyperlink>
    </w:p>
    <w:p w14:paraId="2CADB83A" w14:textId="30A860FC" w:rsidR="00595459" w:rsidRPr="00595459" w:rsidRDefault="00000000" w:rsidP="00595459">
      <w:pPr>
        <w:pStyle w:val="TOC3"/>
        <w:rPr>
          <w:rStyle w:val="Hyperlink"/>
        </w:rPr>
      </w:pPr>
      <w:hyperlink w:anchor="_Toc153828346" w:history="1">
        <w:r w:rsidR="00595459" w:rsidRPr="0034357D">
          <w:rPr>
            <w:rStyle w:val="Hyperlink"/>
          </w:rPr>
          <w:t>Business Development Program</w:t>
        </w:r>
        <w:r w:rsidR="00595459" w:rsidRPr="00595459">
          <w:rPr>
            <w:rStyle w:val="Hyperlink"/>
            <w:webHidden/>
          </w:rPr>
          <w:tab/>
        </w:r>
        <w:r w:rsidR="00595459" w:rsidRPr="00595459">
          <w:rPr>
            <w:rStyle w:val="Hyperlink"/>
            <w:webHidden/>
          </w:rPr>
          <w:fldChar w:fldCharType="begin"/>
        </w:r>
        <w:r w:rsidR="00595459" w:rsidRPr="00595459">
          <w:rPr>
            <w:rStyle w:val="Hyperlink"/>
            <w:webHidden/>
          </w:rPr>
          <w:instrText xml:space="preserve"> PAGEREF _Toc153828346 \h </w:instrText>
        </w:r>
        <w:r w:rsidR="00595459" w:rsidRPr="00595459">
          <w:rPr>
            <w:rStyle w:val="Hyperlink"/>
            <w:webHidden/>
          </w:rPr>
        </w:r>
        <w:r w:rsidR="00595459" w:rsidRPr="00595459">
          <w:rPr>
            <w:rStyle w:val="Hyperlink"/>
            <w:webHidden/>
          </w:rPr>
          <w:fldChar w:fldCharType="separate"/>
        </w:r>
        <w:r w:rsidR="00595459" w:rsidRPr="00595459">
          <w:rPr>
            <w:rStyle w:val="Hyperlink"/>
            <w:webHidden/>
          </w:rPr>
          <w:t>21</w:t>
        </w:r>
        <w:r w:rsidR="00595459" w:rsidRPr="00595459">
          <w:rPr>
            <w:rStyle w:val="Hyperlink"/>
            <w:webHidden/>
          </w:rPr>
          <w:fldChar w:fldCharType="end"/>
        </w:r>
      </w:hyperlink>
    </w:p>
    <w:p w14:paraId="1F815041" w14:textId="1C4FB17C" w:rsidR="00595459" w:rsidRDefault="00000000">
      <w:pPr>
        <w:pStyle w:val="TOC3"/>
        <w:rPr>
          <w:rFonts w:asciiTheme="minorHAnsi" w:eastAsiaTheme="minorEastAsia" w:hAnsiTheme="minorHAnsi" w:cstheme="minorBidi"/>
          <w:kern w:val="2"/>
          <w:sz w:val="22"/>
          <w:szCs w:val="22"/>
          <w14:ligatures w14:val="standardContextual"/>
        </w:rPr>
      </w:pPr>
      <w:hyperlink w:anchor="_Toc153828347" w:history="1">
        <w:r w:rsidR="00595459" w:rsidRPr="0034357D">
          <w:rPr>
            <w:rStyle w:val="Hyperlink"/>
          </w:rPr>
          <w:t>Business Development Program Requirements</w:t>
        </w:r>
        <w:r w:rsidR="00595459">
          <w:rPr>
            <w:webHidden/>
          </w:rPr>
          <w:tab/>
        </w:r>
        <w:r w:rsidR="00595459">
          <w:rPr>
            <w:webHidden/>
          </w:rPr>
          <w:fldChar w:fldCharType="begin"/>
        </w:r>
        <w:r w:rsidR="00595459">
          <w:rPr>
            <w:webHidden/>
          </w:rPr>
          <w:instrText xml:space="preserve"> PAGEREF _Toc153828347 \h </w:instrText>
        </w:r>
        <w:r w:rsidR="00595459">
          <w:rPr>
            <w:webHidden/>
          </w:rPr>
        </w:r>
        <w:r w:rsidR="00595459">
          <w:rPr>
            <w:webHidden/>
          </w:rPr>
          <w:fldChar w:fldCharType="separate"/>
        </w:r>
        <w:r w:rsidR="00595459">
          <w:rPr>
            <w:webHidden/>
          </w:rPr>
          <w:t>21</w:t>
        </w:r>
        <w:r w:rsidR="00595459">
          <w:rPr>
            <w:webHidden/>
          </w:rPr>
          <w:fldChar w:fldCharType="end"/>
        </w:r>
      </w:hyperlink>
    </w:p>
    <w:p w14:paraId="3EF09685" w14:textId="63E58AFD" w:rsidR="00595459" w:rsidRPr="00595459" w:rsidRDefault="00000000" w:rsidP="00595459">
      <w:pPr>
        <w:pStyle w:val="TOC3"/>
        <w:rPr>
          <w:rStyle w:val="Hyperlink"/>
        </w:rPr>
      </w:pPr>
      <w:hyperlink w:anchor="_Toc153828348" w:history="1">
        <w:r w:rsidR="00595459" w:rsidRPr="0034357D">
          <w:rPr>
            <w:rStyle w:val="Hyperlink"/>
          </w:rPr>
          <w:t xml:space="preserve">Regional Planning </w:t>
        </w:r>
        <w:r w:rsidR="00595459" w:rsidRPr="00595459">
          <w:rPr>
            <w:rStyle w:val="Hyperlink"/>
          </w:rPr>
          <w:t>Program</w:t>
        </w:r>
        <w:r w:rsidR="00595459" w:rsidRPr="00595459">
          <w:rPr>
            <w:rStyle w:val="Hyperlink"/>
            <w:webHidden/>
          </w:rPr>
          <w:tab/>
        </w:r>
        <w:r w:rsidR="00595459" w:rsidRPr="00595459">
          <w:rPr>
            <w:rStyle w:val="Hyperlink"/>
            <w:webHidden/>
          </w:rPr>
          <w:fldChar w:fldCharType="begin"/>
        </w:r>
        <w:r w:rsidR="00595459" w:rsidRPr="00595459">
          <w:rPr>
            <w:rStyle w:val="Hyperlink"/>
            <w:webHidden/>
          </w:rPr>
          <w:instrText xml:space="preserve"> PAGEREF _Toc153828348 \h </w:instrText>
        </w:r>
        <w:r w:rsidR="00595459" w:rsidRPr="00595459">
          <w:rPr>
            <w:rStyle w:val="Hyperlink"/>
            <w:webHidden/>
          </w:rPr>
        </w:r>
        <w:r w:rsidR="00595459" w:rsidRPr="00595459">
          <w:rPr>
            <w:rStyle w:val="Hyperlink"/>
            <w:webHidden/>
          </w:rPr>
          <w:fldChar w:fldCharType="separate"/>
        </w:r>
        <w:r w:rsidR="00595459" w:rsidRPr="00595459">
          <w:rPr>
            <w:rStyle w:val="Hyperlink"/>
            <w:webHidden/>
          </w:rPr>
          <w:t>25</w:t>
        </w:r>
        <w:r w:rsidR="00595459" w:rsidRPr="00595459">
          <w:rPr>
            <w:rStyle w:val="Hyperlink"/>
            <w:webHidden/>
          </w:rPr>
          <w:fldChar w:fldCharType="end"/>
        </w:r>
      </w:hyperlink>
    </w:p>
    <w:p w14:paraId="37476C21" w14:textId="2ECB3C0B" w:rsidR="00123332" w:rsidRDefault="0025173E" w:rsidP="00123332">
      <w:pPr>
        <w:tabs>
          <w:tab w:val="left" w:leader="dot" w:pos="9000"/>
        </w:tabs>
        <w:spacing w:after="120"/>
        <w:jc w:val="both"/>
      </w:pPr>
      <w:r>
        <w:fldChar w:fldCharType="end"/>
      </w:r>
    </w:p>
    <w:p w14:paraId="4A0BFEB0" w14:textId="77777777" w:rsidR="00123332" w:rsidRDefault="00123332" w:rsidP="001661C2">
      <w:pPr>
        <w:spacing w:after="120"/>
        <w:jc w:val="both"/>
      </w:pPr>
    </w:p>
    <w:p w14:paraId="49367177" w14:textId="77777777" w:rsidR="00123332" w:rsidRDefault="00123332" w:rsidP="001661C2">
      <w:pPr>
        <w:spacing w:after="120"/>
        <w:jc w:val="both"/>
      </w:pPr>
    </w:p>
    <w:p w14:paraId="48ABBFAA" w14:textId="77777777" w:rsidR="00123332" w:rsidRDefault="00123332" w:rsidP="001661C2">
      <w:pPr>
        <w:ind w:right="180"/>
        <w:jc w:val="center"/>
        <w:rPr>
          <w:i/>
        </w:rPr>
      </w:pPr>
    </w:p>
    <w:p w14:paraId="7FE4CA00" w14:textId="77777777" w:rsidR="00123332" w:rsidRDefault="00123332" w:rsidP="001661C2">
      <w:pPr>
        <w:ind w:right="180"/>
        <w:jc w:val="center"/>
        <w:rPr>
          <w:i/>
        </w:rPr>
      </w:pPr>
      <w:r>
        <w:rPr>
          <w:i/>
        </w:rPr>
        <w:t xml:space="preserve">POLICY OF NON-DISCRIMINATION </w:t>
      </w:r>
    </w:p>
    <w:p w14:paraId="07265BC3" w14:textId="77777777" w:rsidR="00123332" w:rsidRDefault="00123332" w:rsidP="001661C2">
      <w:pPr>
        <w:jc w:val="both"/>
        <w:rPr>
          <w:i/>
        </w:rPr>
      </w:pPr>
    </w:p>
    <w:p w14:paraId="659B01C2" w14:textId="6EA6A317" w:rsidR="001661C2" w:rsidRDefault="00123332" w:rsidP="70D26724">
      <w:pPr>
        <w:jc w:val="both"/>
        <w:rPr>
          <w:sz w:val="20"/>
          <w:szCs w:val="20"/>
        </w:rPr>
      </w:pPr>
      <w:r w:rsidRPr="70D26724">
        <w:rPr>
          <w:sz w:val="20"/>
          <w:szCs w:val="20"/>
        </w:rPr>
        <w:t xml:space="preserve">The State of South Carolina does not discriminate on the basis of age, race, color, religion, sex, national origin, disability or familial status in the admission or access to, or treatment or employment in, its federally assisted programs or activities.  </w:t>
      </w:r>
      <w:r w:rsidR="000425C0" w:rsidRPr="70D26724">
        <w:rPr>
          <w:sz w:val="20"/>
          <w:szCs w:val="20"/>
        </w:rPr>
        <w:t>Barry Butler</w:t>
      </w:r>
      <w:r w:rsidRPr="70D26724">
        <w:rPr>
          <w:sz w:val="20"/>
          <w:szCs w:val="20"/>
        </w:rPr>
        <w:t xml:space="preserve">, Department of Commerce, </w:t>
      </w:r>
      <w:r w:rsidR="071B7FB6" w:rsidRPr="70D26724">
        <w:rPr>
          <w:sz w:val="20"/>
          <w:szCs w:val="20"/>
        </w:rPr>
        <w:t>State CDBG Program</w:t>
      </w:r>
      <w:r w:rsidRPr="70D26724">
        <w:rPr>
          <w:sz w:val="20"/>
          <w:szCs w:val="20"/>
        </w:rPr>
        <w:t>, 1201 Main Street, Suite 1600, Columbia, SC 29201</w:t>
      </w:r>
      <w:r w:rsidR="00961486" w:rsidRPr="70D26724">
        <w:rPr>
          <w:sz w:val="20"/>
          <w:szCs w:val="20"/>
        </w:rPr>
        <w:t xml:space="preserve">, Phone (803) 734-0429 </w:t>
      </w:r>
      <w:r w:rsidRPr="70D26724">
        <w:rPr>
          <w:sz w:val="20"/>
          <w:szCs w:val="20"/>
        </w:rPr>
        <w:t>(VOICE)</w:t>
      </w:r>
      <w:r w:rsidR="004B254F" w:rsidRPr="70D26724">
        <w:rPr>
          <w:sz w:val="20"/>
          <w:szCs w:val="20"/>
        </w:rPr>
        <w:t>,</w:t>
      </w:r>
      <w:r w:rsidRPr="70D26724">
        <w:rPr>
          <w:sz w:val="20"/>
          <w:szCs w:val="20"/>
        </w:rPr>
        <w:t xml:space="preserve"> (803) 734-</w:t>
      </w:r>
      <w:r w:rsidR="006F75DD" w:rsidRPr="70D26724">
        <w:rPr>
          <w:sz w:val="20"/>
          <w:szCs w:val="20"/>
        </w:rPr>
        <w:t>0555</w:t>
      </w:r>
      <w:r w:rsidRPr="70D26724">
        <w:rPr>
          <w:sz w:val="20"/>
          <w:szCs w:val="20"/>
        </w:rPr>
        <w:t xml:space="preserve"> (</w:t>
      </w:r>
      <w:r w:rsidR="00C47D83" w:rsidRPr="70D26724">
        <w:rPr>
          <w:sz w:val="20"/>
          <w:szCs w:val="20"/>
        </w:rPr>
        <w:t>TTY 711</w:t>
      </w:r>
      <w:r w:rsidRPr="70D26724">
        <w:rPr>
          <w:sz w:val="20"/>
          <w:szCs w:val="20"/>
        </w:rPr>
        <w:t xml:space="preserve">), </w:t>
      </w:r>
      <w:r w:rsidR="004B254F" w:rsidRPr="70D26724">
        <w:rPr>
          <w:sz w:val="20"/>
          <w:szCs w:val="20"/>
        </w:rPr>
        <w:t xml:space="preserve">or email </w:t>
      </w:r>
      <w:hyperlink r:id="rId13">
        <w:r w:rsidR="004B254F" w:rsidRPr="70D26724">
          <w:rPr>
            <w:rStyle w:val="Hyperlink"/>
            <w:sz w:val="20"/>
            <w:szCs w:val="20"/>
          </w:rPr>
          <w:t>bbutler@sccommerce.com</w:t>
        </w:r>
      </w:hyperlink>
      <w:r w:rsidR="004B254F" w:rsidRPr="70D26724">
        <w:rPr>
          <w:sz w:val="20"/>
          <w:szCs w:val="20"/>
        </w:rPr>
        <w:t xml:space="preserve"> </w:t>
      </w:r>
      <w:r w:rsidRPr="70D26724">
        <w:rPr>
          <w:sz w:val="20"/>
          <w:szCs w:val="20"/>
        </w:rPr>
        <w:t>has been designated to coordinate compliance with the non-discrimination requirements of the CDBG program.</w:t>
      </w:r>
    </w:p>
    <w:p w14:paraId="069F58FB" w14:textId="77777777" w:rsidR="001661C2" w:rsidRDefault="001661C2" w:rsidP="00123332">
      <w:pPr>
        <w:jc w:val="both"/>
        <w:rPr>
          <w:sz w:val="20"/>
        </w:rPr>
      </w:pPr>
      <w:r>
        <w:rPr>
          <w:sz w:val="20"/>
        </w:rPr>
        <w:br w:type="page"/>
      </w:r>
    </w:p>
    <w:p w14:paraId="2A253F12" w14:textId="77777777" w:rsidR="001661C2" w:rsidRDefault="001661C2" w:rsidP="00123332">
      <w:pPr>
        <w:jc w:val="both"/>
        <w:rPr>
          <w:sz w:val="20"/>
        </w:rPr>
        <w:sectPr w:rsidR="001661C2" w:rsidSect="00960D95">
          <w:footerReference w:type="default" r:id="rId14"/>
          <w:footerReference w:type="first" r:id="rId15"/>
          <w:pgSz w:w="12240" w:h="15840" w:code="1"/>
          <w:pgMar w:top="1440" w:right="1440" w:bottom="806" w:left="1440" w:header="720" w:footer="576" w:gutter="0"/>
          <w:pgNumType w:fmt="lowerRoman" w:start="1"/>
          <w:cols w:space="720"/>
          <w:titlePg/>
          <w:docGrid w:linePitch="360"/>
        </w:sectPr>
      </w:pPr>
    </w:p>
    <w:bookmarkStart w:id="5" w:name="_Toc153828329"/>
    <w:p w14:paraId="71F15D9E" w14:textId="646A63D9" w:rsidR="001661C2" w:rsidRPr="001661C2" w:rsidRDefault="00117155" w:rsidP="00F33758">
      <w:pPr>
        <w:pStyle w:val="Heading1"/>
      </w:pPr>
      <w:r w:rsidRPr="001661C2">
        <w:rPr>
          <w:noProof/>
        </w:rPr>
        <w:lastRenderedPageBreak/>
        <mc:AlternateContent>
          <mc:Choice Requires="wps">
            <w:drawing>
              <wp:anchor distT="0" distB="0" distL="114300" distR="114300" simplePos="0" relativeHeight="251658241" behindDoc="1" locked="0" layoutInCell="1" allowOverlap="1" wp14:anchorId="7FC37466" wp14:editId="382451FF">
                <wp:simplePos x="0" y="0"/>
                <wp:positionH relativeFrom="column">
                  <wp:posOffset>0</wp:posOffset>
                </wp:positionH>
                <wp:positionV relativeFrom="paragraph">
                  <wp:posOffset>114300</wp:posOffset>
                </wp:positionV>
                <wp:extent cx="6126480" cy="328930"/>
                <wp:effectExtent l="0" t="0" r="0"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2893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7950E" id="Rectangle 16" o:spid="_x0000_s1026" style="position:absolute;margin-left:0;margin-top:9pt;width:482.4pt;height:25.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" fillcolor="#969696" stroked="f"/>
            </w:pict>
          </mc:Fallback>
        </mc:AlternateContent>
      </w:r>
      <w:r w:rsidR="001661C2" w:rsidRPr="001661C2">
        <w:t>Overview</w:t>
      </w:r>
      <w:bookmarkEnd w:id="5"/>
    </w:p>
    <w:p w14:paraId="53A16C8F" w14:textId="35161811" w:rsidR="001661C2" w:rsidRDefault="001661C2" w:rsidP="00104C81">
      <w:pPr>
        <w:pStyle w:val="BodyText"/>
      </w:pPr>
      <w:r>
        <w:t xml:space="preserve">The South Carolina Community Development Block Grant </w:t>
      </w:r>
      <w:r w:rsidR="00FA43A1">
        <w:t xml:space="preserve">Program </w:t>
      </w:r>
      <w:r>
        <w:t>(</w:t>
      </w:r>
      <w:r w:rsidR="00FA43A1">
        <w:t xml:space="preserve">“State </w:t>
      </w:r>
      <w:r>
        <w:t>CDBG</w:t>
      </w:r>
      <w:r w:rsidR="00FA43A1">
        <w:t xml:space="preserve"> Program”</w:t>
      </w:r>
      <w:r>
        <w:t xml:space="preserve">) is designed to provide assistance to units of general local government in improving economic opportunities and meeting community revitalization needs, particularly for persons of low and moderate income.  The </w:t>
      </w:r>
      <w:r w:rsidR="00FA43A1">
        <w:t xml:space="preserve">State </w:t>
      </w:r>
      <w:r>
        <w:t xml:space="preserve">CDBG </w:t>
      </w:r>
      <w:r w:rsidR="00FA43A1">
        <w:t>P</w:t>
      </w:r>
      <w:r>
        <w:t xml:space="preserve">rogram has been funded since 1982 by the U.S. Department of Housing and Urban Development (HUD) under the Housing and Community Development Act of 1974, as amended (Title I).  </w:t>
      </w:r>
    </w:p>
    <w:p w14:paraId="72CE9505" w14:textId="77777777" w:rsidR="001661C2" w:rsidRDefault="001661C2" w:rsidP="00104C81">
      <w:pPr>
        <w:pStyle w:val="BodyText"/>
      </w:pPr>
    </w:p>
    <w:p w14:paraId="7A37D04E" w14:textId="77777777" w:rsidR="001661C2" w:rsidRDefault="001661C2" w:rsidP="00104C81">
      <w:pPr>
        <w:pStyle w:val="BodyText"/>
      </w:pPr>
      <w:r>
        <w:t xml:space="preserve">The CDBG program is governed by Title I of the Housing and Community Development Act of 1974, as amended, and </w:t>
      </w:r>
      <w:r w:rsidR="00961486">
        <w:t>its</w:t>
      </w:r>
      <w:r>
        <w:t xml:space="preserve"> implementing regulations for the State Program </w:t>
      </w:r>
      <w:r w:rsidR="003E128A">
        <w:t xml:space="preserve">at 24 CFR Part 570, Subpart I. </w:t>
      </w:r>
      <w:r>
        <w:t>All CDBG activities must be carried out in accordance with the requirements of Title I, Subpart I, the State Consolidated Plan and this Program Description.</w:t>
      </w:r>
    </w:p>
    <w:p w14:paraId="4A3F4B54" w14:textId="77777777" w:rsidR="001661C2" w:rsidRDefault="001661C2" w:rsidP="00104C81">
      <w:pPr>
        <w:pStyle w:val="BodyText"/>
        <w:rPr>
          <w:bCs/>
        </w:rPr>
      </w:pPr>
    </w:p>
    <w:p w14:paraId="7939AD41" w14:textId="1BBAAEA5" w:rsidR="001661C2" w:rsidRDefault="00FA43A1" w:rsidP="00104C81">
      <w:pPr>
        <w:pStyle w:val="BodyText"/>
      </w:pPr>
      <w:r>
        <w:t>T</w:t>
      </w:r>
      <w:r w:rsidR="00705469" w:rsidRPr="000443BC">
        <w:t>he S</w:t>
      </w:r>
      <w:r w:rsidR="00483A1D">
        <w:t xml:space="preserve">outh </w:t>
      </w:r>
      <w:r w:rsidR="00705469" w:rsidRPr="000443BC">
        <w:t>C</w:t>
      </w:r>
      <w:r w:rsidR="00483A1D">
        <w:t>arolina</w:t>
      </w:r>
      <w:r w:rsidR="00705469" w:rsidRPr="000443BC">
        <w:t xml:space="preserve"> Department of Commerce</w:t>
      </w:r>
      <w:r>
        <w:t xml:space="preserve"> Division of Business Incentives and Community Development</w:t>
      </w:r>
      <w:r w:rsidR="00705469" w:rsidRPr="000443BC">
        <w:t xml:space="preserve"> </w:t>
      </w:r>
      <w:r w:rsidR="001661C2" w:rsidRPr="000443BC">
        <w:t xml:space="preserve">administers the annual allocation from HUD for the </w:t>
      </w:r>
      <w:r w:rsidR="00DF5FEF">
        <w:t>State CDBG Program.</w:t>
      </w:r>
      <w:r w:rsidR="00483A1D">
        <w:t xml:space="preserve"> </w:t>
      </w:r>
      <w:r w:rsidR="001661C2">
        <w:t xml:space="preserve">Throughout this Program Description, the term "State" generally refers to the entity administering the CDBG program, i.e., </w:t>
      </w:r>
      <w:r w:rsidR="00DF5FEF">
        <w:t>the SC Department of Commerce Division of Business Incentives and Community Development</w:t>
      </w:r>
      <w:r w:rsidR="001661C2">
        <w:t>.</w:t>
      </w:r>
    </w:p>
    <w:p w14:paraId="34B88B5A" w14:textId="77777777" w:rsidR="001661C2" w:rsidRDefault="001661C2" w:rsidP="00104C81">
      <w:pPr>
        <w:pStyle w:val="BodyText"/>
      </w:pPr>
    </w:p>
    <w:p w14:paraId="26C6D589" w14:textId="63CAB7CC" w:rsidR="001661C2" w:rsidRDefault="001661C2" w:rsidP="00104C81">
      <w:pPr>
        <w:pStyle w:val="BodyText"/>
      </w:pPr>
      <w:r>
        <w:t>In the following sections, a description of the State CDBG Program is presented along with the amount of funds available and the method of distribution</w:t>
      </w:r>
      <w:r w:rsidR="003E128A">
        <w:t xml:space="preserve"> of those funds. </w:t>
      </w:r>
      <w:r>
        <w:t xml:space="preserve">Also presented are the categories of grants to be made available, selection criteria, eligible activities, and the eligibility requirements for applicants. </w:t>
      </w:r>
    </w:p>
    <w:p w14:paraId="34FABA71" w14:textId="77777777" w:rsidR="001661C2" w:rsidRDefault="001661C2" w:rsidP="00104C81">
      <w:pPr>
        <w:pStyle w:val="BodyText"/>
      </w:pPr>
    </w:p>
    <w:p w14:paraId="11CF5A72" w14:textId="77777777" w:rsidR="001661C2" w:rsidRDefault="001661C2" w:rsidP="00104C81">
      <w:pPr>
        <w:pStyle w:val="BodyText"/>
      </w:pPr>
      <w:r>
        <w:t>The State will conduct workshop</w:t>
      </w:r>
      <w:r w:rsidR="00263EE1">
        <w:t>s</w:t>
      </w:r>
      <w:r>
        <w:t xml:space="preserve"> to </w:t>
      </w:r>
      <w:r w:rsidR="00A6585A">
        <w:t xml:space="preserve">assist local governments and other interested parties in the preparation of grant applications and the administration and management of funded projects in accordance with program requirements. </w:t>
      </w:r>
      <w:r>
        <w:t>In addition, the State is available to provide technical assistance to local governments and non-profit organizations regarding the CDBG program.</w:t>
      </w:r>
    </w:p>
    <w:p w14:paraId="5ACD6F46" w14:textId="77777777" w:rsidR="001661C2" w:rsidRDefault="001661C2" w:rsidP="00104C81">
      <w:pPr>
        <w:pStyle w:val="BodyText"/>
      </w:pPr>
    </w:p>
    <w:p w14:paraId="1632C28C" w14:textId="77777777" w:rsidR="001661C2" w:rsidRDefault="001661C2" w:rsidP="00104C81">
      <w:pPr>
        <w:pStyle w:val="BodyText"/>
      </w:pPr>
    </w:p>
    <w:bookmarkStart w:id="6" w:name="_Toc153828330"/>
    <w:p w14:paraId="345E40D6" w14:textId="2AF02927" w:rsidR="001661C2" w:rsidRDefault="00117155" w:rsidP="00F33758">
      <w:pPr>
        <w:pStyle w:val="Heading1"/>
      </w:pPr>
      <w:r>
        <w:rPr>
          <w:bCs/>
          <w:noProof/>
        </w:rPr>
        <mc:AlternateContent>
          <mc:Choice Requires="wps">
            <w:drawing>
              <wp:anchor distT="0" distB="0" distL="114300" distR="114300" simplePos="0" relativeHeight="251658243" behindDoc="1" locked="0" layoutInCell="1" allowOverlap="1" wp14:anchorId="085573DB" wp14:editId="7F16DB83">
                <wp:simplePos x="0" y="0"/>
                <wp:positionH relativeFrom="column">
                  <wp:posOffset>0</wp:posOffset>
                </wp:positionH>
                <wp:positionV relativeFrom="paragraph">
                  <wp:posOffset>59055</wp:posOffset>
                </wp:positionV>
                <wp:extent cx="6126480" cy="365760"/>
                <wp:effectExtent l="0" t="1905"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D422B" id="Rectangle 15" o:spid="_x0000_s1026" style="position:absolute;margin-left:0;margin-top:4.65pt;width:482.4pt;height:28.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1661C2" w:rsidRPr="007B2717">
        <w:t>CDBG Program Goals and Outcomes</w:t>
      </w:r>
      <w:bookmarkEnd w:id="6"/>
    </w:p>
    <w:p w14:paraId="1EEA32A0" w14:textId="0AEF1E8C" w:rsidR="00961486" w:rsidRPr="000443BC" w:rsidRDefault="00961486" w:rsidP="00961486">
      <w:pPr>
        <w:pStyle w:val="BodyText"/>
        <w:rPr>
          <w:bCs/>
        </w:rPr>
      </w:pPr>
      <w:r w:rsidRPr="000443BC">
        <w:rPr>
          <w:bCs/>
        </w:rPr>
        <w:t xml:space="preserve">The </w:t>
      </w:r>
      <w:r w:rsidR="00DF5FEF">
        <w:rPr>
          <w:bCs/>
        </w:rPr>
        <w:t xml:space="preserve">SC </w:t>
      </w:r>
      <w:r w:rsidRPr="000443BC">
        <w:rPr>
          <w:bCs/>
        </w:rPr>
        <w:t xml:space="preserve">Department of Commerce </w:t>
      </w:r>
      <w:r w:rsidR="00BB6FD6">
        <w:rPr>
          <w:bCs/>
        </w:rPr>
        <w:t>seeks</w:t>
      </w:r>
      <w:r w:rsidRPr="000443BC">
        <w:rPr>
          <w:bCs/>
        </w:rPr>
        <w:t xml:space="preserve"> to improve the well-being of all South Carolinians in a manner that supports and en</w:t>
      </w:r>
      <w:r w:rsidR="003E128A">
        <w:rPr>
          <w:bCs/>
        </w:rPr>
        <w:t xml:space="preserve">hances a high quality of life. </w:t>
      </w:r>
      <w:r>
        <w:rPr>
          <w:bCs/>
        </w:rPr>
        <w:t>The</w:t>
      </w:r>
      <w:r w:rsidRPr="000443BC">
        <w:rPr>
          <w:bCs/>
        </w:rPr>
        <w:t xml:space="preserve"> State CDBG Program supports the agency’s efforts to strengthen communities through revitalization and improvement of neighborhoods, public infrastructure, and the local economy</w:t>
      </w:r>
      <w:r>
        <w:rPr>
          <w:bCs/>
        </w:rPr>
        <w:t>.</w:t>
      </w:r>
    </w:p>
    <w:p w14:paraId="19A4F8A6" w14:textId="77777777" w:rsidR="00961486" w:rsidRDefault="00961486" w:rsidP="00104C81">
      <w:pPr>
        <w:pStyle w:val="BodyText"/>
      </w:pPr>
    </w:p>
    <w:p w14:paraId="68E3A795" w14:textId="72F9EE5D" w:rsidR="00961486" w:rsidRDefault="007D1867" w:rsidP="00104C81">
      <w:pPr>
        <w:pStyle w:val="BodyText"/>
      </w:pPr>
      <w:r>
        <w:t xml:space="preserve">In an effort to effectively target resources and ensure program accountability, the </w:t>
      </w:r>
      <w:r w:rsidR="00DF5FEF">
        <w:t xml:space="preserve">State </w:t>
      </w:r>
      <w:r>
        <w:t xml:space="preserve">CDBG </w:t>
      </w:r>
      <w:r w:rsidR="00DF5FEF">
        <w:t xml:space="preserve">Program </w:t>
      </w:r>
      <w:r>
        <w:t>has incorporate</w:t>
      </w:r>
      <w:r w:rsidR="003E128A">
        <w:t xml:space="preserve">d a focus on project outcomes. </w:t>
      </w:r>
      <w:r>
        <w:t xml:space="preserve">Shrinking resources on the national and state levels require that programs provide concrete evidence that their investments are resulting in the desired outcomes.  </w:t>
      </w:r>
    </w:p>
    <w:p w14:paraId="00A0F093" w14:textId="77777777" w:rsidR="00961486" w:rsidRDefault="00961486" w:rsidP="00104C81">
      <w:pPr>
        <w:pStyle w:val="BodyText"/>
      </w:pPr>
    </w:p>
    <w:p w14:paraId="3939EB07" w14:textId="49AB3677" w:rsidR="007D1867" w:rsidRDefault="007D1867" w:rsidP="00104C81">
      <w:pPr>
        <w:pStyle w:val="BodyText"/>
      </w:pPr>
      <w:r>
        <w:t xml:space="preserve">The three overarching goals of the </w:t>
      </w:r>
      <w:r w:rsidR="00DF5FEF">
        <w:t xml:space="preserve">HUD </w:t>
      </w:r>
      <w:r>
        <w:t xml:space="preserve">CDBG program are to provide decent housing, economic opportunities and </w:t>
      </w:r>
      <w:r w:rsidR="003E128A">
        <w:t xml:space="preserve">a suitable living environment. </w:t>
      </w:r>
      <w:r>
        <w:t xml:space="preserve">Within the context of these goals, each project </w:t>
      </w:r>
      <w:r w:rsidR="00DF5FEF">
        <w:t xml:space="preserve">funded by the State </w:t>
      </w:r>
      <w:r>
        <w:t>must also meet one of thr</w:t>
      </w:r>
      <w:r w:rsidR="003E128A">
        <w:t xml:space="preserve">ee outcomes identified by HUD: </w:t>
      </w:r>
      <w:r>
        <w:t xml:space="preserve">affordability, accessibility, or </w:t>
      </w:r>
      <w:r w:rsidR="003E128A">
        <w:t xml:space="preserve">sustainability. </w:t>
      </w:r>
    </w:p>
    <w:bookmarkStart w:id="7" w:name="_Toc153828331"/>
    <w:p w14:paraId="7DFA4B26" w14:textId="56E81EAA" w:rsidR="007D1867" w:rsidRDefault="00117155" w:rsidP="00F33758">
      <w:pPr>
        <w:pStyle w:val="Heading1"/>
      </w:pPr>
      <w:r>
        <w:rPr>
          <w:bCs/>
          <w:noProof/>
        </w:rPr>
        <w:lastRenderedPageBreak/>
        <mc:AlternateContent>
          <mc:Choice Requires="wps">
            <w:drawing>
              <wp:anchor distT="0" distB="0" distL="114300" distR="114300" simplePos="0" relativeHeight="251658244" behindDoc="1" locked="0" layoutInCell="1" allowOverlap="1" wp14:anchorId="514A4358" wp14:editId="27E6A8D8">
                <wp:simplePos x="0" y="0"/>
                <wp:positionH relativeFrom="column">
                  <wp:posOffset>0</wp:posOffset>
                </wp:positionH>
                <wp:positionV relativeFrom="paragraph">
                  <wp:posOffset>59055</wp:posOffset>
                </wp:positionV>
                <wp:extent cx="6126480" cy="365760"/>
                <wp:effectExtent l="0" t="1905"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7249C" id="Rectangle 14" o:spid="_x0000_s1026" style="position:absolute;margin-left:0;margin-top:4.65pt;width:482.4pt;height:28.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7D1867">
        <w:t>National Objectives</w:t>
      </w:r>
      <w:bookmarkEnd w:id="7"/>
    </w:p>
    <w:p w14:paraId="0621F3C8" w14:textId="3250C599" w:rsidR="007D1867" w:rsidRDefault="007D1867" w:rsidP="00104C81">
      <w:pPr>
        <w:pStyle w:val="BodyText"/>
      </w:pPr>
      <w:r>
        <w:t>Each activity must address at least one of the three National Objectives of the CDBG program: (1) benefit low and moderate income (</w:t>
      </w:r>
      <w:r w:rsidR="00705469">
        <w:t>“</w:t>
      </w:r>
      <w:r>
        <w:t>LMI</w:t>
      </w:r>
      <w:r w:rsidR="00705469">
        <w:t>”</w:t>
      </w:r>
      <w:r>
        <w:t>) persons, (2) aid in the prevention or elimination of slums and blight, and (3) meet other urgent community needs posing a serious threat to the health or welfare of the community</w:t>
      </w:r>
      <w:r w:rsidR="00705469">
        <w:t>,</w:t>
      </w:r>
      <w:r>
        <w:t xml:space="preserve"> where other financial resources are not</w:t>
      </w:r>
      <w:r w:rsidR="003E128A">
        <w:t xml:space="preserve"> available to meet such needs. </w:t>
      </w:r>
      <w:r>
        <w:t xml:space="preserve">The </w:t>
      </w:r>
      <w:r w:rsidR="00DF5FEF">
        <w:t xml:space="preserve">State </w:t>
      </w:r>
      <w:r>
        <w:t xml:space="preserve">CDBG Program has been designed to give maximum priority to activities </w:t>
      </w:r>
      <w:r w:rsidR="003E128A">
        <w:t xml:space="preserve">that will benefit LMI persons. </w:t>
      </w:r>
      <w:r>
        <w:t>As required by Title I, the State of South Carolina is certifying to HUD that at least 70 percent of the total CDBG funds received by the State during</w:t>
      </w:r>
      <w:r w:rsidR="009E0A56">
        <w:t xml:space="preserve"> the t</w:t>
      </w:r>
      <w:r w:rsidR="003A2F54">
        <w:t>wo</w:t>
      </w:r>
      <w:r w:rsidR="009E0A56">
        <w:t xml:space="preserve"> year period from </w:t>
      </w:r>
      <w:r w:rsidR="0057394B">
        <w:t>202</w:t>
      </w:r>
      <w:r w:rsidR="003A2F54">
        <w:t>4</w:t>
      </w:r>
      <w:r w:rsidR="0057394B" w:rsidRPr="00867E28">
        <w:t xml:space="preserve"> </w:t>
      </w:r>
      <w:r w:rsidRPr="00867E28">
        <w:t xml:space="preserve">through </w:t>
      </w:r>
      <w:r w:rsidR="0057394B">
        <w:t xml:space="preserve">2025 </w:t>
      </w:r>
      <w:r>
        <w:t>will be used to provide benefits to persons from LMI families.</w:t>
      </w:r>
    </w:p>
    <w:p w14:paraId="5F92069D" w14:textId="77777777" w:rsidR="007D1867" w:rsidRDefault="007D1867" w:rsidP="00104C81">
      <w:pPr>
        <w:pStyle w:val="BodyText"/>
      </w:pPr>
    </w:p>
    <w:p w14:paraId="00148F67" w14:textId="77777777" w:rsidR="007D1867" w:rsidRDefault="007D1867" w:rsidP="00104C81">
      <w:pPr>
        <w:pStyle w:val="BodyText"/>
      </w:pPr>
      <w:r>
        <w:t xml:space="preserve">For activities that address benefit to LMI persons, at least 51 percent of the beneficiaries must be from LMI families, except that single-family housing activities must benefit 100 percent LMI. The definition of LMI used in the State's CDBG program </w:t>
      </w:r>
      <w:r w:rsidR="00A6585A">
        <w:t>is as follows</w:t>
      </w:r>
      <w:r w:rsidR="00263EE1">
        <w:t>:</w:t>
      </w:r>
    </w:p>
    <w:p w14:paraId="2FCE1825" w14:textId="77777777" w:rsidR="007D1867" w:rsidRDefault="007D1867" w:rsidP="00F33758">
      <w:pPr>
        <w:tabs>
          <w:tab w:val="left" w:pos="3240"/>
          <w:tab w:val="left" w:pos="3600"/>
          <w:tab w:val="left" w:pos="4320"/>
          <w:tab w:val="left" w:pos="5040"/>
          <w:tab w:val="left" w:pos="5760"/>
          <w:tab w:val="left" w:pos="6480"/>
          <w:tab w:val="left" w:pos="7200"/>
          <w:tab w:val="left" w:pos="7920"/>
          <w:tab w:val="left" w:pos="8640"/>
        </w:tabs>
        <w:spacing w:before="120"/>
        <w:ind w:left="576" w:right="720"/>
        <w:jc w:val="both"/>
        <w:rPr>
          <w:u w:val="single"/>
        </w:rPr>
      </w:pPr>
      <w:r>
        <w:rPr>
          <w:u w:val="single"/>
        </w:rPr>
        <w:t>Non-metropolitan counties</w:t>
      </w:r>
    </w:p>
    <w:p w14:paraId="1080FFFD" w14:textId="77777777" w:rsidR="007D1867" w:rsidRDefault="00B0720A" w:rsidP="007D1867">
      <w:pPr>
        <w:tabs>
          <w:tab w:val="left" w:pos="3240"/>
          <w:tab w:val="left" w:pos="3600"/>
          <w:tab w:val="left" w:pos="4320"/>
          <w:tab w:val="left" w:pos="5040"/>
          <w:tab w:val="left" w:pos="5760"/>
          <w:tab w:val="left" w:pos="6480"/>
          <w:tab w:val="left" w:pos="7200"/>
          <w:tab w:val="left" w:pos="7920"/>
          <w:tab w:val="left" w:pos="8640"/>
        </w:tabs>
        <w:ind w:left="576" w:right="720"/>
        <w:jc w:val="both"/>
      </w:pPr>
      <w:r>
        <w:t xml:space="preserve">Low and moderate income levels will be determined by eighty percent (80 percent) of the higher of the following: The median family income for </w:t>
      </w:r>
      <w:r w:rsidR="00EC0332">
        <w:t>the county of residence</w:t>
      </w:r>
      <w:r>
        <w:t xml:space="preserve"> </w:t>
      </w:r>
      <w:r w:rsidR="00EC0332">
        <w:t xml:space="preserve">or the statewide non-metropolitan median family income, </w:t>
      </w:r>
      <w:r>
        <w:t>whichever is higher.</w:t>
      </w:r>
    </w:p>
    <w:p w14:paraId="3FE94508" w14:textId="77777777" w:rsidR="007D1867" w:rsidRDefault="007D1867" w:rsidP="00180FB4">
      <w:pPr>
        <w:tabs>
          <w:tab w:val="left" w:pos="3240"/>
          <w:tab w:val="left" w:pos="3600"/>
          <w:tab w:val="left" w:pos="4320"/>
          <w:tab w:val="left" w:pos="5040"/>
          <w:tab w:val="left" w:pos="5760"/>
          <w:tab w:val="left" w:pos="6480"/>
          <w:tab w:val="left" w:pos="7200"/>
          <w:tab w:val="left" w:pos="7920"/>
          <w:tab w:val="left" w:pos="8640"/>
        </w:tabs>
        <w:spacing w:before="120"/>
        <w:ind w:left="576" w:right="720"/>
        <w:jc w:val="both"/>
        <w:rPr>
          <w:u w:val="single"/>
        </w:rPr>
      </w:pPr>
      <w:r>
        <w:rPr>
          <w:u w:val="single"/>
        </w:rPr>
        <w:t>Metropolitan counties</w:t>
      </w:r>
    </w:p>
    <w:p w14:paraId="730A1F9E" w14:textId="77777777" w:rsidR="007D1867" w:rsidRDefault="007D1867" w:rsidP="00F33758">
      <w:pPr>
        <w:tabs>
          <w:tab w:val="left" w:pos="3240"/>
          <w:tab w:val="left" w:pos="3600"/>
          <w:tab w:val="left" w:pos="4320"/>
          <w:tab w:val="left" w:pos="5040"/>
          <w:tab w:val="left" w:pos="5760"/>
          <w:tab w:val="left" w:pos="6480"/>
          <w:tab w:val="left" w:pos="7200"/>
          <w:tab w:val="left" w:pos="7920"/>
          <w:tab w:val="left" w:pos="8640"/>
        </w:tabs>
        <w:spacing w:after="120"/>
        <w:ind w:left="576" w:right="720"/>
        <w:jc w:val="both"/>
      </w:pPr>
      <w:r>
        <w:t>Low and moderate income levels will be determined on the basis of eighty percent (80 percent) of the entire Metropolitan Statistical Area (MSA) median family income.</w:t>
      </w:r>
    </w:p>
    <w:p w14:paraId="666BD6D3" w14:textId="77777777" w:rsidR="007D1867" w:rsidRDefault="007D1867" w:rsidP="00104C81">
      <w:pPr>
        <w:pStyle w:val="BodyText"/>
      </w:pPr>
      <w:r>
        <w:t xml:space="preserve">HUD adjusts median family </w:t>
      </w:r>
      <w:r w:rsidR="003E128A">
        <w:t xml:space="preserve">income levels for family size. </w:t>
      </w:r>
      <w:r>
        <w:t>The State will provide CDBG applicants and recipients with the latest available HUD data</w:t>
      </w:r>
      <w:r w:rsidR="00705469">
        <w:t>, and this</w:t>
      </w:r>
      <w:r>
        <w:t xml:space="preserve"> must be used to determine which persons qualify </w:t>
      </w:r>
      <w:r w:rsidR="00392B22">
        <w:t xml:space="preserve">at the time of assistance </w:t>
      </w:r>
      <w:r>
        <w:t xml:space="preserve">as being from low and moderate income families. </w:t>
      </w:r>
      <w:r w:rsidR="00705469">
        <w:t>When conducting limited clientele activities, t</w:t>
      </w:r>
      <w:r>
        <w:t xml:space="preserve">he following persons are also presumed to be LMI by HUD (absent evidence to the contrary): abused children, elderly persons, battered spouses, homeless persons, severely disabled adults, illiterate adults, migrant farm workers, or persons living with AIDS.  </w:t>
      </w:r>
    </w:p>
    <w:p w14:paraId="521D422E" w14:textId="77777777" w:rsidR="007D1867" w:rsidRDefault="007D1867" w:rsidP="00104C81">
      <w:pPr>
        <w:pStyle w:val="BodyText"/>
      </w:pPr>
    </w:p>
    <w:p w14:paraId="4780BD45" w14:textId="77777777" w:rsidR="007D1867" w:rsidRDefault="007D1867" w:rsidP="00104C81">
      <w:pPr>
        <w:pStyle w:val="BodyText"/>
      </w:pPr>
      <w:r>
        <w:t>Applications that address the third national objective of imminent threat to the health or welfare of the community must comply with the requirements</w:t>
      </w:r>
      <w:r w:rsidR="00180FB4">
        <w:t xml:space="preserve"> shown </w:t>
      </w:r>
      <w:r w:rsidR="00F33758">
        <w:t>below</w:t>
      </w:r>
      <w:r w:rsidR="00961486">
        <w:t>:</w:t>
      </w:r>
    </w:p>
    <w:p w14:paraId="30E9E2C0" w14:textId="77777777" w:rsidR="007D1867" w:rsidRDefault="007D1867" w:rsidP="00747A94">
      <w:pPr>
        <w:pStyle w:val="BulletedMultilinespbeforeafter"/>
      </w:pPr>
      <w:r>
        <w:t>Applications must contain a certification of imminent health threat from the Commissioner of the South Carolina Department of Health and Environmental Control (DHEC), or the Governor must have made a declaration of emergency.</w:t>
      </w:r>
    </w:p>
    <w:p w14:paraId="17AC9BB2" w14:textId="77777777" w:rsidR="00B0720A" w:rsidRDefault="007D1867" w:rsidP="00747A94">
      <w:pPr>
        <w:pStyle w:val="BulletedMultilinespbeforeafter"/>
      </w:pPr>
      <w:r>
        <w:t xml:space="preserve">Conditions which pose a serious and immediate threat must be of recent origin or must have recently become urgent. A condition will generally be considered of recent origin if </w:t>
      </w:r>
      <w:r w:rsidR="00317630">
        <w:t>it developed or became critical within eighteen (18) months preceding the submission of an application. The application may not address conditions that have become serious due to a lack of maintenance of an existing facility or improvement.</w:t>
      </w:r>
    </w:p>
    <w:p w14:paraId="53DDBB21" w14:textId="77777777" w:rsidR="00FE5121" w:rsidRDefault="007D1867" w:rsidP="00747A94">
      <w:pPr>
        <w:pStyle w:val="BulletedMultilinespbeforeafter"/>
      </w:pPr>
      <w:r>
        <w:t>The applicant must demonstrate that it lacks the resources to effectively address the</w:t>
      </w:r>
      <w:r w:rsidR="00013A01">
        <w:t xml:space="preserve"> imminent threat and </w:t>
      </w:r>
      <w:r>
        <w:t>other sources of funding are not reasonably available.</w:t>
      </w:r>
      <w:r w:rsidR="00FE5121" w:rsidRPr="00FE5121">
        <w:t xml:space="preserve"> </w:t>
      </w:r>
    </w:p>
    <w:bookmarkStart w:id="8" w:name="_Toc153828332"/>
    <w:p w14:paraId="7C60B50E" w14:textId="10724038" w:rsidR="00180FB4" w:rsidRDefault="00117155" w:rsidP="00F33758">
      <w:pPr>
        <w:pStyle w:val="Heading1"/>
      </w:pPr>
      <w:r>
        <w:rPr>
          <w:bCs/>
          <w:noProof/>
        </w:rPr>
        <w:lastRenderedPageBreak/>
        <mc:AlternateContent>
          <mc:Choice Requires="wps">
            <w:drawing>
              <wp:anchor distT="0" distB="0" distL="114300" distR="114300" simplePos="0" relativeHeight="251658245" behindDoc="1" locked="0" layoutInCell="1" allowOverlap="1" wp14:anchorId="290655F2" wp14:editId="2365B8E0">
                <wp:simplePos x="0" y="0"/>
                <wp:positionH relativeFrom="column">
                  <wp:posOffset>0</wp:posOffset>
                </wp:positionH>
                <wp:positionV relativeFrom="paragraph">
                  <wp:posOffset>59055</wp:posOffset>
                </wp:positionV>
                <wp:extent cx="6126480" cy="365760"/>
                <wp:effectExtent l="0" t="1905"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5A34" id="Rectangle 13" o:spid="_x0000_s1026" style="position:absolute;margin-left:0;margin-top:4.65pt;width:482.4pt;height:28.8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180FB4">
        <w:t>Eligible Applicants</w:t>
      </w:r>
      <w:bookmarkEnd w:id="8"/>
    </w:p>
    <w:p w14:paraId="250ED2A6" w14:textId="28516FFE" w:rsidR="00024A39" w:rsidRDefault="00180FB4" w:rsidP="00104C81">
      <w:pPr>
        <w:pStyle w:val="BodyText"/>
      </w:pPr>
      <w:r>
        <w:t xml:space="preserve">Under Title I, all units of general local government are eligible to apply for CDBG financial assistance with the exception of the </w:t>
      </w:r>
      <w:r w:rsidR="00DF5FEF">
        <w:t xml:space="preserve">metropolitan </w:t>
      </w:r>
      <w:r w:rsidR="00024A39">
        <w:t xml:space="preserve">cities and urban counties </w:t>
      </w:r>
      <w:r w:rsidR="00DF5FEF">
        <w:t xml:space="preserve">in South Carolina </w:t>
      </w:r>
      <w:r w:rsidR="00024A39">
        <w:t>that participate in the CDBG Entitlement program and receive CDBG funds directly from HUD. The ineligible c</w:t>
      </w:r>
      <w:r>
        <w:t>ities</w:t>
      </w:r>
      <w:r w:rsidR="00024A39">
        <w:t xml:space="preserve"> </w:t>
      </w:r>
      <w:r w:rsidR="00DF5FEF">
        <w:t xml:space="preserve">currently </w:t>
      </w:r>
      <w:r w:rsidR="00024A39">
        <w:t xml:space="preserve">include: </w:t>
      </w:r>
      <w:r>
        <w:t xml:space="preserve">Aiken, Anderson, Charleston, Columbia, Florence, Greenville, </w:t>
      </w:r>
      <w:r w:rsidR="00181C02">
        <w:t>Hilton Head Island</w:t>
      </w:r>
      <w:r w:rsidR="007510CF">
        <w:t>,</w:t>
      </w:r>
      <w:r w:rsidR="00181C02">
        <w:t xml:space="preserve"> </w:t>
      </w:r>
      <w:r>
        <w:t>Rock Hill, Spartanburg</w:t>
      </w:r>
      <w:r w:rsidR="00653727">
        <w:t>, Summerville</w:t>
      </w:r>
      <w:r>
        <w:t xml:space="preserve"> and Sumter. </w:t>
      </w:r>
      <w:r w:rsidR="00024A39">
        <w:t>The</w:t>
      </w:r>
      <w:r w:rsidR="00DB1D4C">
        <w:t xml:space="preserve"> HUD designated urban counties </w:t>
      </w:r>
      <w:r w:rsidR="00B0695B">
        <w:t xml:space="preserve">are Berkeley, </w:t>
      </w:r>
      <w:r w:rsidR="00DB1D4C">
        <w:t>Charleston</w:t>
      </w:r>
      <w:r w:rsidR="00B0695B">
        <w:t>,</w:t>
      </w:r>
      <w:r w:rsidR="00DB1D4C">
        <w:t xml:space="preserve"> Greenville</w:t>
      </w:r>
      <w:r w:rsidR="00B0695B">
        <w:t>, Spartanburg, Horry, Lexington and Richland. U</w:t>
      </w:r>
      <w:r w:rsidR="00024A39">
        <w:t xml:space="preserve">nincorporated areas of the </w:t>
      </w:r>
      <w:r w:rsidR="006A5DE0">
        <w:t>designated u</w:t>
      </w:r>
      <w:r w:rsidR="00B0695B">
        <w:t xml:space="preserve">rban </w:t>
      </w:r>
      <w:r w:rsidR="006A5DE0">
        <w:t>c</w:t>
      </w:r>
      <w:r w:rsidR="00B0695B">
        <w:t>ounties</w:t>
      </w:r>
      <w:r w:rsidR="006A5DE0">
        <w:t>,</w:t>
      </w:r>
      <w:r w:rsidR="00B0695B">
        <w:t xml:space="preserve"> and any municipalities within the county that choose to participate with the county</w:t>
      </w:r>
      <w:r w:rsidR="006A5DE0">
        <w:t>,</w:t>
      </w:r>
      <w:r w:rsidR="00B0695B">
        <w:t xml:space="preserve"> </w:t>
      </w:r>
      <w:r>
        <w:t>are also not</w:t>
      </w:r>
      <w:r w:rsidR="00D24BD2">
        <w:t xml:space="preserve"> eligible</w:t>
      </w:r>
      <w:r w:rsidR="006A5DE0">
        <w:t>.</w:t>
      </w:r>
      <w:r w:rsidR="00024A39">
        <w:t xml:space="preserve"> </w:t>
      </w:r>
      <w:r w:rsidR="006A5DE0">
        <w:t>As of December 20</w:t>
      </w:r>
      <w:r w:rsidR="00871428">
        <w:t>20</w:t>
      </w:r>
      <w:r w:rsidR="006A5DE0">
        <w:t xml:space="preserve">, ineligible municipalities include all </w:t>
      </w:r>
      <w:r w:rsidR="00B0695B">
        <w:t xml:space="preserve">in Greenville </w:t>
      </w:r>
      <w:r w:rsidR="006A5DE0">
        <w:t>Count</w:t>
      </w:r>
      <w:r w:rsidR="008E2B13">
        <w:t>y</w:t>
      </w:r>
      <w:r w:rsidR="006A5DE0">
        <w:t>, most in Charleston County, and Myrtle Beach in Horry County.</w:t>
      </w:r>
      <w:r w:rsidR="00024A39">
        <w:t xml:space="preserve"> </w:t>
      </w:r>
      <w:r w:rsidR="006A5DE0">
        <w:t xml:space="preserve">However, municipalities located within an urban county should </w:t>
      </w:r>
      <w:r w:rsidR="00024A39">
        <w:t xml:space="preserve">contact the urban county or the </w:t>
      </w:r>
      <w:r w:rsidR="00651051">
        <w:t>S</w:t>
      </w:r>
      <w:r w:rsidR="00024A39">
        <w:t>tate</w:t>
      </w:r>
      <w:r w:rsidR="006A5DE0">
        <w:t xml:space="preserve"> for an eligibility determination</w:t>
      </w:r>
      <w:r w:rsidR="00024A39">
        <w:t>.</w:t>
      </w:r>
      <w:r w:rsidR="00B0695B">
        <w:t xml:space="preserve"> </w:t>
      </w:r>
    </w:p>
    <w:p w14:paraId="44B3E7D2" w14:textId="77777777" w:rsidR="00024A39" w:rsidRDefault="00024A39" w:rsidP="00104C81">
      <w:pPr>
        <w:pStyle w:val="BodyText"/>
      </w:pPr>
    </w:p>
    <w:p w14:paraId="44D14200" w14:textId="77777777" w:rsidR="00180FB4" w:rsidRDefault="00180FB4" w:rsidP="00104C81">
      <w:pPr>
        <w:pStyle w:val="BodyText"/>
      </w:pPr>
      <w:r>
        <w:t>For any application to be considered for funding, the applicant must comply with the requirements of this Program Description as well as applicable federal regulations and state requirements and submit a complete and acceptable application.</w:t>
      </w:r>
    </w:p>
    <w:p w14:paraId="2ADDC441" w14:textId="77777777" w:rsidR="00180FB4" w:rsidRDefault="00180FB4" w:rsidP="00104C81">
      <w:pPr>
        <w:pStyle w:val="BodyText"/>
      </w:pPr>
    </w:p>
    <w:p w14:paraId="18BECBAE" w14:textId="77777777" w:rsidR="00180FB4" w:rsidRDefault="00180FB4" w:rsidP="00104C81">
      <w:pPr>
        <w:pStyle w:val="BodyText"/>
      </w:pPr>
    </w:p>
    <w:bookmarkStart w:id="9" w:name="_Toc153828333"/>
    <w:p w14:paraId="6A98926C" w14:textId="0CBD7E73" w:rsidR="00180FB4" w:rsidRDefault="00117155" w:rsidP="00F33758">
      <w:pPr>
        <w:pStyle w:val="Heading1"/>
      </w:pPr>
      <w:r>
        <w:rPr>
          <w:bCs/>
          <w:noProof/>
        </w:rPr>
        <mc:AlternateContent>
          <mc:Choice Requires="wps">
            <w:drawing>
              <wp:anchor distT="0" distB="0" distL="114300" distR="114300" simplePos="0" relativeHeight="251658246" behindDoc="1" locked="0" layoutInCell="1" allowOverlap="1" wp14:anchorId="731BE99F" wp14:editId="2AEACCBF">
                <wp:simplePos x="0" y="0"/>
                <wp:positionH relativeFrom="column">
                  <wp:posOffset>0</wp:posOffset>
                </wp:positionH>
                <wp:positionV relativeFrom="paragraph">
                  <wp:posOffset>59055</wp:posOffset>
                </wp:positionV>
                <wp:extent cx="6126480" cy="365760"/>
                <wp:effectExtent l="0" t="1905" r="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FF3F" id="Rectangle 12" o:spid="_x0000_s1026" style="position:absolute;margin-left:0;margin-top:4.65pt;width:482.4pt;height:28.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180FB4">
        <w:t>Types of Applications</w:t>
      </w:r>
      <w:bookmarkEnd w:id="9"/>
    </w:p>
    <w:p w14:paraId="7A362C9F" w14:textId="77777777" w:rsidR="00180FB4" w:rsidRPr="00180FB4" w:rsidRDefault="00180FB4" w:rsidP="0033794B">
      <w:pPr>
        <w:pStyle w:val="Heading3ProgramSection"/>
      </w:pPr>
      <w:r w:rsidRPr="00180FB4">
        <w:t>Individual Application</w:t>
      </w:r>
    </w:p>
    <w:p w14:paraId="0B5AC57A" w14:textId="57421DA4" w:rsidR="00180FB4" w:rsidRDefault="00180FB4" w:rsidP="00104C81">
      <w:pPr>
        <w:pStyle w:val="BodyText"/>
      </w:pPr>
      <w:r>
        <w:t>A unit of local government generally may apply for only one project per application and funding category</w:t>
      </w:r>
      <w:r w:rsidR="00705469">
        <w:t>,</w:t>
      </w:r>
      <w:r>
        <w:t xml:space="preserve"> and that project must be designed to address an identified priority need of the jurisdiction. The single project requirement may be waived if </w:t>
      </w:r>
      <w:r w:rsidR="00DF5FEF">
        <w:t xml:space="preserve">the State CDBG Program </w:t>
      </w:r>
      <w:r>
        <w:t>determines that there is an overriding administrative and/or cost benefit to undertaking separate projects under one grant or program.</w:t>
      </w:r>
      <w:r w:rsidR="00961486" w:rsidRPr="00961486">
        <w:t xml:space="preserve"> </w:t>
      </w:r>
    </w:p>
    <w:p w14:paraId="34569A95" w14:textId="77777777" w:rsidR="00180FB4" w:rsidRDefault="00180FB4" w:rsidP="00104C81">
      <w:pPr>
        <w:pStyle w:val="BodyText"/>
        <w:rPr>
          <w:u w:val="single"/>
        </w:rPr>
      </w:pPr>
    </w:p>
    <w:p w14:paraId="797527FB" w14:textId="77777777" w:rsidR="00180FB4" w:rsidRDefault="00180FB4" w:rsidP="0033794B">
      <w:pPr>
        <w:pStyle w:val="Heading3ProgramSection"/>
      </w:pPr>
      <w:r>
        <w:t>Joint Application</w:t>
      </w:r>
    </w:p>
    <w:p w14:paraId="1E8BD0EE" w14:textId="01037016" w:rsidR="00180FB4" w:rsidRDefault="00180FB4" w:rsidP="00104C81">
      <w:pPr>
        <w:pStyle w:val="BodyText"/>
      </w:pPr>
      <w:r>
        <w:t xml:space="preserve">Eligible applicants may apply jointly for projects to alleviate common problems or address mutual need(s) when it is documented that mutual action is required or when it is in the best interests of all applicants. </w:t>
      </w:r>
      <w:r w:rsidR="00F00269">
        <w:t>Additionally, a joint application may be required if a significant portion of the project beneficiaries are located outside the applicant</w:t>
      </w:r>
      <w:r w:rsidR="00270FC3">
        <w:t>’</w:t>
      </w:r>
      <w:r w:rsidR="00F00269">
        <w:t xml:space="preserve">s jurisdiction.  </w:t>
      </w:r>
      <w:r>
        <w:t xml:space="preserve">The necessity or appropriateness for mutual action must be acknowledged by </w:t>
      </w:r>
      <w:r w:rsidR="00DF5FEF">
        <w:t xml:space="preserve">the State CDBG Program </w:t>
      </w:r>
      <w:r>
        <w:t xml:space="preserve">prior to the submission of an application.  </w:t>
      </w:r>
    </w:p>
    <w:p w14:paraId="74DB00F7" w14:textId="77777777" w:rsidR="00F33758" w:rsidRDefault="00F33758" w:rsidP="00104C81">
      <w:pPr>
        <w:pStyle w:val="BodyText"/>
      </w:pPr>
    </w:p>
    <w:p w14:paraId="10C10104" w14:textId="0D02F1A2" w:rsidR="00180FB4" w:rsidRDefault="00180FB4" w:rsidP="00104C81">
      <w:pPr>
        <w:pStyle w:val="BodyText"/>
      </w:pPr>
      <w:r>
        <w:t xml:space="preserve">A joint application will be funded as a multi-jurisdictional award and must include an agreement written in accordance with HUD and </w:t>
      </w:r>
      <w:r w:rsidR="00DF5FEF">
        <w:t xml:space="preserve">the State CDBG Program </w:t>
      </w:r>
      <w:r>
        <w:t>procedures which:</w:t>
      </w:r>
    </w:p>
    <w:p w14:paraId="57509E8A" w14:textId="77777777" w:rsidR="00FE5121" w:rsidRDefault="00180FB4" w:rsidP="00747A94">
      <w:pPr>
        <w:pStyle w:val="Bulletedsgl-multlinespbeforeafter"/>
      </w:pPr>
      <w:r>
        <w:t>States that the parties have agreed to cooperate in undertaking the project</w:t>
      </w:r>
      <w:r w:rsidR="003E128A">
        <w:t>,</w:t>
      </w:r>
      <w:r w:rsidR="00FE5121" w:rsidRPr="00FE5121">
        <w:t xml:space="preserve"> </w:t>
      </w:r>
    </w:p>
    <w:p w14:paraId="4ADEF4CA" w14:textId="77777777" w:rsidR="00FE5121" w:rsidRDefault="00180FB4" w:rsidP="00747A94">
      <w:pPr>
        <w:pStyle w:val="Bulletedsgl-multlinespbeforeafter"/>
      </w:pPr>
      <w:r>
        <w:t>Delineates the responsibilities and authorities of each party with respect to the administration of the grant</w:t>
      </w:r>
      <w:r w:rsidR="003E128A">
        <w:t>,</w:t>
      </w:r>
      <w:r>
        <w:t xml:space="preserve"> and</w:t>
      </w:r>
    </w:p>
    <w:p w14:paraId="6661CF5C" w14:textId="77777777" w:rsidR="00FE5121" w:rsidRDefault="00180FB4" w:rsidP="00747A94">
      <w:pPr>
        <w:pStyle w:val="BulletedMultilinespbeforeafter"/>
      </w:pPr>
      <w:r>
        <w:t>Authorizes one of the parties to be the recipient of the funds and have primary administrative responsibility.</w:t>
      </w:r>
      <w:r w:rsidR="00FE5121" w:rsidRPr="00FE5121">
        <w:t xml:space="preserve"> </w:t>
      </w:r>
    </w:p>
    <w:p w14:paraId="515CDE6D" w14:textId="3F82D1A7" w:rsidR="0089757D" w:rsidRDefault="00180FB4" w:rsidP="00104C81">
      <w:pPr>
        <w:pStyle w:val="BodyText"/>
      </w:pPr>
      <w:r>
        <w:lastRenderedPageBreak/>
        <w:t xml:space="preserve">Applicants proposing to submit joint applications should contact </w:t>
      </w:r>
      <w:r w:rsidR="00DF5FEF">
        <w:t xml:space="preserve">the State CDBG Program </w:t>
      </w:r>
      <w:r>
        <w:t>for further instructions. The lead jurisdiction in a joint application must comply with program threshold requirements. Each participating jurisdiction is required to comply with all citizen participation requirements</w:t>
      </w:r>
      <w:r w:rsidR="00CC4970">
        <w:t>, certifications</w:t>
      </w:r>
      <w:r>
        <w:t xml:space="preserve"> and other Title I requirements, as applicable</w:t>
      </w:r>
      <w:r w:rsidR="00CC4970">
        <w:t xml:space="preserve">. </w:t>
      </w:r>
    </w:p>
    <w:p w14:paraId="72CDEBEA" w14:textId="77777777" w:rsidR="001E47AF" w:rsidRDefault="001E47AF" w:rsidP="00104C81">
      <w:pPr>
        <w:pStyle w:val="BodyText"/>
      </w:pPr>
    </w:p>
    <w:p w14:paraId="60E0548F" w14:textId="77777777" w:rsidR="00180FB4" w:rsidRDefault="00180FB4" w:rsidP="0033794B">
      <w:pPr>
        <w:pStyle w:val="Heading3ProgramSection"/>
      </w:pPr>
      <w:r>
        <w:t>Applications</w:t>
      </w:r>
      <w:r w:rsidR="007235E9">
        <w:t xml:space="preserve"> for Areas</w:t>
      </w:r>
      <w:r>
        <w:t xml:space="preserve"> Outside </w:t>
      </w:r>
      <w:r w:rsidR="007235E9">
        <w:t xml:space="preserve">Municipal </w:t>
      </w:r>
      <w:r>
        <w:t>Jurisdiction</w:t>
      </w:r>
    </w:p>
    <w:p w14:paraId="1918E92A" w14:textId="28DD000B" w:rsidR="00180FB4" w:rsidRDefault="00366E74" w:rsidP="00180FB4">
      <w:pPr>
        <w:pStyle w:val="Style3"/>
        <w:ind w:left="0" w:firstLine="0"/>
        <w:rPr>
          <w:sz w:val="24"/>
        </w:rPr>
      </w:pPr>
      <w:r>
        <w:rPr>
          <w:sz w:val="24"/>
        </w:rPr>
        <w:t>Activities must significantly benefit residents of the</w:t>
      </w:r>
      <w:r w:rsidR="00A6585A">
        <w:rPr>
          <w:sz w:val="24"/>
        </w:rPr>
        <w:t xml:space="preserve"> applicant jurisdiction</w:t>
      </w:r>
      <w:r>
        <w:rPr>
          <w:sz w:val="24"/>
        </w:rPr>
        <w:t xml:space="preserve"> and </w:t>
      </w:r>
      <w:r w:rsidR="00180FB4">
        <w:rPr>
          <w:sz w:val="24"/>
        </w:rPr>
        <w:t xml:space="preserve">the applicant </w:t>
      </w:r>
      <w:r>
        <w:rPr>
          <w:sz w:val="24"/>
        </w:rPr>
        <w:t>must determine</w:t>
      </w:r>
      <w:r w:rsidR="00180FB4">
        <w:rPr>
          <w:sz w:val="24"/>
        </w:rPr>
        <w:t xml:space="preserve"> that </w:t>
      </w:r>
      <w:r>
        <w:rPr>
          <w:sz w:val="24"/>
        </w:rPr>
        <w:t>the</w:t>
      </w:r>
      <w:r w:rsidR="00180FB4">
        <w:rPr>
          <w:sz w:val="24"/>
        </w:rPr>
        <w:t xml:space="preserve"> activit</w:t>
      </w:r>
      <w:r w:rsidR="003E128A">
        <w:rPr>
          <w:sz w:val="24"/>
        </w:rPr>
        <w:t xml:space="preserve">ies will meet a priority need. </w:t>
      </w:r>
      <w:r w:rsidR="00180FB4">
        <w:rPr>
          <w:sz w:val="24"/>
        </w:rPr>
        <w:t xml:space="preserve">This determination should be documented in the needs </w:t>
      </w:r>
      <w:r w:rsidR="003E128A">
        <w:rPr>
          <w:sz w:val="24"/>
        </w:rPr>
        <w:t xml:space="preserve">assessment and public hearing. </w:t>
      </w:r>
      <w:r>
        <w:rPr>
          <w:sz w:val="24"/>
        </w:rPr>
        <w:t xml:space="preserve">For an activity to significantly benefit </w:t>
      </w:r>
      <w:r w:rsidR="00B13463">
        <w:rPr>
          <w:sz w:val="24"/>
        </w:rPr>
        <w:t xml:space="preserve">the </w:t>
      </w:r>
      <w:r>
        <w:rPr>
          <w:sz w:val="24"/>
        </w:rPr>
        <w:t>residents of the applicant jurisdiction, CDBG funds e</w:t>
      </w:r>
      <w:r w:rsidR="00B13463">
        <w:rPr>
          <w:sz w:val="24"/>
        </w:rPr>
        <w:t>xpended must not be unreasonably</w:t>
      </w:r>
      <w:r>
        <w:rPr>
          <w:sz w:val="24"/>
        </w:rPr>
        <w:t xml:space="preserve"> disproportionate to the benefits of the applicant’s residents. </w:t>
      </w:r>
      <w:r w:rsidR="007235E9">
        <w:rPr>
          <w:sz w:val="24"/>
        </w:rPr>
        <w:t xml:space="preserve">Where </w:t>
      </w:r>
      <w:r w:rsidR="0089757D">
        <w:rPr>
          <w:sz w:val="24"/>
        </w:rPr>
        <w:t xml:space="preserve">activities significantly benefit another jurisdiction or </w:t>
      </w:r>
      <w:r w:rsidR="007235E9">
        <w:rPr>
          <w:sz w:val="24"/>
        </w:rPr>
        <w:t xml:space="preserve">mutual action is required, a County may apply jointly with a municipality to address the needs of areas outside the jurisdiction of a municipality. </w:t>
      </w:r>
      <w:r w:rsidR="0089757D">
        <w:rPr>
          <w:sz w:val="24"/>
        </w:rPr>
        <w:t xml:space="preserve"> </w:t>
      </w:r>
      <w:r w:rsidR="0089757D" w:rsidRPr="00201308">
        <w:rPr>
          <w:sz w:val="24"/>
          <w:szCs w:val="24"/>
        </w:rPr>
        <w:t xml:space="preserve">Please contact </w:t>
      </w:r>
      <w:r w:rsidR="00DF5FEF">
        <w:t xml:space="preserve">the State CDBG Program </w:t>
      </w:r>
      <w:r w:rsidR="0089757D" w:rsidRPr="00201308">
        <w:rPr>
          <w:sz w:val="24"/>
          <w:szCs w:val="24"/>
        </w:rPr>
        <w:t>if a project is not wholly within the proposed applicant’s jurisdiction.</w:t>
      </w:r>
      <w:r w:rsidR="0089757D">
        <w:t xml:space="preserve"> </w:t>
      </w:r>
      <w:r w:rsidR="00180FB4">
        <w:rPr>
          <w:sz w:val="24"/>
        </w:rPr>
        <w:t>It is</w:t>
      </w:r>
      <w:r w:rsidR="007235E9">
        <w:rPr>
          <w:sz w:val="24"/>
        </w:rPr>
        <w:t xml:space="preserve"> also</w:t>
      </w:r>
      <w:r w:rsidR="00180FB4">
        <w:rPr>
          <w:sz w:val="24"/>
        </w:rPr>
        <w:t xml:space="preserve"> permissible for a County to undertake a project in a municipality without meeting the requirements of a joint application</w:t>
      </w:r>
      <w:r w:rsidR="00705469">
        <w:rPr>
          <w:sz w:val="24"/>
        </w:rPr>
        <w:t>,</w:t>
      </w:r>
      <w:r w:rsidR="00180FB4">
        <w:rPr>
          <w:sz w:val="24"/>
        </w:rPr>
        <w:t xml:space="preserve"> since the County's jurisdiction includes the municipality.</w:t>
      </w:r>
    </w:p>
    <w:p w14:paraId="6BB5A35B" w14:textId="77777777" w:rsidR="00180FB4" w:rsidRDefault="00180FB4" w:rsidP="00180FB4">
      <w:pPr>
        <w:pStyle w:val="Style3"/>
        <w:ind w:left="0" w:firstLine="0"/>
        <w:rPr>
          <w:sz w:val="24"/>
        </w:rPr>
      </w:pPr>
    </w:p>
    <w:p w14:paraId="3248D59E" w14:textId="77777777" w:rsidR="00180FB4" w:rsidRDefault="00180FB4" w:rsidP="0033794B">
      <w:pPr>
        <w:pStyle w:val="Heading3ProgramSection"/>
      </w:pPr>
      <w:r>
        <w:t>Applications Involving an Entitlement Jurisdiction</w:t>
      </w:r>
    </w:p>
    <w:p w14:paraId="2F37D61B" w14:textId="2FAF2AB8" w:rsidR="00104C81" w:rsidRDefault="00A6585A" w:rsidP="00104C81">
      <w:pPr>
        <w:pStyle w:val="BodyText"/>
      </w:pPr>
      <w:r>
        <w:t xml:space="preserve">Generally, </w:t>
      </w:r>
      <w:r w:rsidR="00651051">
        <w:t>S</w:t>
      </w:r>
      <w:r>
        <w:t xml:space="preserve">tate CDBG funds may not be spent in entitlement communities. Residents of entitlement jurisdictions may </w:t>
      </w:r>
      <w:r w:rsidR="00B13463">
        <w:t>only receive an incidental</w:t>
      </w:r>
      <w:r>
        <w:t xml:space="preserve"> benefit from a </w:t>
      </w:r>
      <w:r w:rsidR="00651051">
        <w:t>S</w:t>
      </w:r>
      <w:r>
        <w:t xml:space="preserve">tate CDBG </w:t>
      </w:r>
      <w:r w:rsidR="00DF5FEF">
        <w:t xml:space="preserve">Program </w:t>
      </w:r>
      <w:r>
        <w:t xml:space="preserve">funded activity. </w:t>
      </w:r>
      <w:r w:rsidR="00180FB4">
        <w:t xml:space="preserve">For projects submitted by </w:t>
      </w:r>
      <w:r w:rsidR="00DF5FEF">
        <w:t xml:space="preserve">applicants </w:t>
      </w:r>
      <w:r w:rsidR="00180FB4">
        <w:t xml:space="preserve">eligible </w:t>
      </w:r>
      <w:r w:rsidR="00DF5FEF">
        <w:t xml:space="preserve">for the </w:t>
      </w:r>
      <w:r w:rsidR="00180FB4">
        <w:t xml:space="preserve">State CDBG </w:t>
      </w:r>
      <w:r w:rsidR="00DF5FEF">
        <w:t>P</w:t>
      </w:r>
      <w:r w:rsidR="00180FB4">
        <w:t>rogram that</w:t>
      </w:r>
      <w:r w:rsidR="009068C6">
        <w:t xml:space="preserve"> also incidentally benefit</w:t>
      </w:r>
      <w:r w:rsidR="00180FB4">
        <w:t xml:space="preserve"> entitlement areas:</w:t>
      </w:r>
    </w:p>
    <w:p w14:paraId="0C1D9D22" w14:textId="77777777" w:rsidR="00FE5121" w:rsidRDefault="00180FB4" w:rsidP="00747A94">
      <w:pPr>
        <w:pStyle w:val="Bulletedsgl-multlinespbeforeafter"/>
      </w:pPr>
      <w:r>
        <w:t>The applicant must determine that the proposed</w:t>
      </w:r>
      <w:r w:rsidR="003E128A">
        <w:t xml:space="preserve"> activity meets </w:t>
      </w:r>
      <w:r w:rsidR="00C6243B">
        <w:t>a</w:t>
      </w:r>
      <w:r w:rsidR="003E128A">
        <w:t xml:space="preserve"> priority need,</w:t>
      </w:r>
    </w:p>
    <w:p w14:paraId="6721D43A" w14:textId="77777777" w:rsidR="00FE5121" w:rsidRDefault="00C6243B" w:rsidP="00747A94">
      <w:pPr>
        <w:pStyle w:val="Bulletedsgl-multlinespbeforeafter"/>
      </w:pPr>
      <w:r>
        <w:t>All but incidental</w:t>
      </w:r>
      <w:r w:rsidR="00180FB4">
        <w:t xml:space="preserve"> beneficiaries must </w:t>
      </w:r>
      <w:r w:rsidR="0070402F">
        <w:t xml:space="preserve">be documented as </w:t>
      </w:r>
      <w:r w:rsidR="00180FB4">
        <w:t>res</w:t>
      </w:r>
      <w:r w:rsidR="0070402F">
        <w:t>iding</w:t>
      </w:r>
      <w:r w:rsidR="003E128A">
        <w:t xml:space="preserve"> in the non-entitlement area,</w:t>
      </w:r>
    </w:p>
    <w:p w14:paraId="17D79BBA" w14:textId="77777777" w:rsidR="00FE5121" w:rsidRDefault="00180FB4" w:rsidP="00747A94">
      <w:pPr>
        <w:pStyle w:val="Bulletedsgl-multlinespbeforeafter"/>
      </w:pPr>
      <w:r>
        <w:t>The project must be consistent with the Entitlement’s Consolidated Plan</w:t>
      </w:r>
      <w:r w:rsidR="003E128A">
        <w:t>,</w:t>
      </w:r>
      <w:r>
        <w:t xml:space="preserve"> and</w:t>
      </w:r>
    </w:p>
    <w:p w14:paraId="457DDC34" w14:textId="77777777" w:rsidR="00FE5121" w:rsidRDefault="00180FB4" w:rsidP="00747A94">
      <w:pPr>
        <w:pStyle w:val="Bulletedsgl-multlinespbeforeafter"/>
      </w:pPr>
      <w:r>
        <w:t xml:space="preserve">The Entitlement </w:t>
      </w:r>
      <w:r w:rsidR="0070402F">
        <w:t>may</w:t>
      </w:r>
      <w:r>
        <w:t xml:space="preserve"> </w:t>
      </w:r>
      <w:r w:rsidR="0070402F">
        <w:t>be required to provide</w:t>
      </w:r>
      <w:r>
        <w:t xml:space="preserve"> a share of the total project cost equal to the proportion of Entitlement benefit.</w:t>
      </w:r>
      <w:r w:rsidR="00FE5121" w:rsidRPr="00FE5121">
        <w:t xml:space="preserve"> </w:t>
      </w:r>
    </w:p>
    <w:p w14:paraId="0875821F" w14:textId="77777777" w:rsidR="00180FB4" w:rsidRDefault="00180FB4" w:rsidP="00104C81">
      <w:pPr>
        <w:pStyle w:val="BodyText"/>
        <w:rPr>
          <w:u w:val="single"/>
        </w:rPr>
      </w:pPr>
    </w:p>
    <w:p w14:paraId="1F0DA0D4" w14:textId="77777777" w:rsidR="00180FB4" w:rsidRDefault="00180FB4" w:rsidP="0033794B">
      <w:pPr>
        <w:pStyle w:val="Heading3ProgramSection"/>
      </w:pPr>
      <w:r>
        <w:t>Single or Multiple Activity Projects</w:t>
      </w:r>
    </w:p>
    <w:p w14:paraId="68DF9604" w14:textId="188CD281" w:rsidR="00180FB4" w:rsidRDefault="00180FB4" w:rsidP="00104C81">
      <w:pPr>
        <w:pStyle w:val="BodyText"/>
      </w:pPr>
      <w:r>
        <w:t xml:space="preserve">Applications may be submitted for single </w:t>
      </w:r>
      <w:r w:rsidR="003E128A">
        <w:t>or multiple activity projects</w:t>
      </w:r>
      <w:r w:rsidR="00E35D05">
        <w:t>, depending on the program category</w:t>
      </w:r>
      <w:r w:rsidR="003E128A">
        <w:t xml:space="preserve">. </w:t>
      </w:r>
      <w:r>
        <w:t>For the Community Development Program, multiple activity projects may only be undertaken in a target area or neighborhood, and all activities must be interrelated. The needs of the neighborhood being addressed should be included in the applicant’s needs assessment and the proposed outcome of the activities should determine the</w:t>
      </w:r>
      <w:r w:rsidR="003E128A">
        <w:t xml:space="preserve"> appropriate program category. </w:t>
      </w:r>
      <w:r>
        <w:t xml:space="preserve">It is recommended that applicants proposing multiple activities seek technical assistance from </w:t>
      </w:r>
      <w:r w:rsidR="00DF5FEF">
        <w:t xml:space="preserve">the State CDBG Program </w:t>
      </w:r>
      <w:r>
        <w:t>staff prior to applying for funding.</w:t>
      </w:r>
      <w:r w:rsidR="00975601">
        <w:t xml:space="preserve"> </w:t>
      </w:r>
    </w:p>
    <w:p w14:paraId="648B0FB6" w14:textId="77777777" w:rsidR="00180FB4" w:rsidRDefault="00180FB4" w:rsidP="00104C81">
      <w:pPr>
        <w:pStyle w:val="BodyText"/>
      </w:pPr>
    </w:p>
    <w:p w14:paraId="45E6A769" w14:textId="77777777" w:rsidR="00180FB4" w:rsidRDefault="00180FB4" w:rsidP="00104C81">
      <w:pPr>
        <w:pStyle w:val="BodyText"/>
      </w:pPr>
    </w:p>
    <w:bookmarkStart w:id="10" w:name="_Toc153828334"/>
    <w:p w14:paraId="3CB14F5F" w14:textId="7F8A2887" w:rsidR="00180FB4" w:rsidRDefault="00117155" w:rsidP="00F33758">
      <w:pPr>
        <w:pStyle w:val="Heading1"/>
      </w:pPr>
      <w:r>
        <w:rPr>
          <w:bCs/>
          <w:noProof/>
        </w:rPr>
        <mc:AlternateContent>
          <mc:Choice Requires="wps">
            <w:drawing>
              <wp:anchor distT="0" distB="0" distL="114300" distR="114300" simplePos="0" relativeHeight="251658247" behindDoc="1" locked="0" layoutInCell="1" allowOverlap="1" wp14:anchorId="10DE6842" wp14:editId="1DBD3AEC">
                <wp:simplePos x="0" y="0"/>
                <wp:positionH relativeFrom="column">
                  <wp:posOffset>0</wp:posOffset>
                </wp:positionH>
                <wp:positionV relativeFrom="paragraph">
                  <wp:posOffset>59055</wp:posOffset>
                </wp:positionV>
                <wp:extent cx="6126480" cy="365760"/>
                <wp:effectExtent l="0" t="1905"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EBBDD" id="Rectangle 11" o:spid="_x0000_s1026" style="position:absolute;margin-left:0;margin-top:4.65pt;width:482.4pt;height:28.8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180FB4">
        <w:t>Eligible A</w:t>
      </w:r>
      <w:r w:rsidR="00647AF0">
        <w:t>ctivitie</w:t>
      </w:r>
      <w:r w:rsidR="00180FB4">
        <w:t>s</w:t>
      </w:r>
      <w:bookmarkEnd w:id="10"/>
    </w:p>
    <w:p w14:paraId="793EBC63" w14:textId="77777777" w:rsidR="00647AF0" w:rsidRDefault="00647AF0" w:rsidP="00104C81">
      <w:pPr>
        <w:pStyle w:val="BodyText"/>
      </w:pPr>
      <w:r>
        <w:t>Units of local government may apply for assistance under the appropriate grant program category to undertake any of the activities specified in Section 105(a) of Title I, as amended.  A copy of Title I, as amended, is available from the State</w:t>
      </w:r>
      <w:r w:rsidR="00F46F45">
        <w:t>.</w:t>
      </w:r>
    </w:p>
    <w:p w14:paraId="76CE09BD" w14:textId="77777777" w:rsidR="00F46F45" w:rsidRDefault="00F46F45" w:rsidP="00104C81">
      <w:pPr>
        <w:pStyle w:val="BodyText"/>
      </w:pPr>
    </w:p>
    <w:p w14:paraId="59588787" w14:textId="77777777" w:rsidR="00647AF0" w:rsidRDefault="00647AF0" w:rsidP="00104C81">
      <w:pPr>
        <w:pStyle w:val="BodyText"/>
      </w:pPr>
      <w:r>
        <w:lastRenderedPageBreak/>
        <w:t>Examples of the types of activities that are eligible for CDBG funding are as follows:  acquisition of real property; construction of public facilities</w:t>
      </w:r>
      <w:r w:rsidR="00E034C1">
        <w:t xml:space="preserve"> and improvements</w:t>
      </w:r>
      <w:r>
        <w:t xml:space="preserve">; rehabilitation of </w:t>
      </w:r>
      <w:r w:rsidR="00E034C1">
        <w:t>residential and non-residential structures</w:t>
      </w:r>
      <w:r>
        <w:t xml:space="preserve">; </w:t>
      </w:r>
      <w:r w:rsidR="00E034C1">
        <w:t>limited</w:t>
      </w:r>
      <w:r>
        <w:t xml:space="preserve"> provision of public services; assistance to neighborhood-based non-profit organizations, local development corporations or </w:t>
      </w:r>
      <w:r w:rsidR="00E034C1">
        <w:t>for-profit</w:t>
      </w:r>
      <w:r>
        <w:t xml:space="preserve"> entities to carry out economic development activities; demolition and clearance; removal of architectural barriers; and CDBG eligible planning and administration.</w:t>
      </w:r>
    </w:p>
    <w:p w14:paraId="3454273A" w14:textId="77777777" w:rsidR="00647AF0" w:rsidRDefault="00647AF0" w:rsidP="00104C81">
      <w:pPr>
        <w:pStyle w:val="BodyText"/>
      </w:pPr>
    </w:p>
    <w:p w14:paraId="1B71A61A" w14:textId="77777777" w:rsidR="00647AF0" w:rsidRDefault="00647AF0" w:rsidP="00104C81">
      <w:pPr>
        <w:pStyle w:val="BodyText"/>
      </w:pPr>
    </w:p>
    <w:bookmarkStart w:id="11" w:name="_Toc153828335"/>
    <w:p w14:paraId="71FDF89A" w14:textId="6ECC73AD" w:rsidR="00647AF0" w:rsidRDefault="00117155" w:rsidP="00F33758">
      <w:pPr>
        <w:pStyle w:val="Heading1"/>
      </w:pPr>
      <w:r>
        <w:rPr>
          <w:bCs/>
          <w:noProof/>
        </w:rPr>
        <mc:AlternateContent>
          <mc:Choice Requires="wps">
            <w:drawing>
              <wp:anchor distT="0" distB="0" distL="114300" distR="114300" simplePos="0" relativeHeight="251658248" behindDoc="1" locked="0" layoutInCell="1" allowOverlap="1" wp14:anchorId="3F526A3E" wp14:editId="57839A8A">
                <wp:simplePos x="0" y="0"/>
                <wp:positionH relativeFrom="column">
                  <wp:posOffset>0</wp:posOffset>
                </wp:positionH>
                <wp:positionV relativeFrom="paragraph">
                  <wp:posOffset>59055</wp:posOffset>
                </wp:positionV>
                <wp:extent cx="6126480" cy="365760"/>
                <wp:effectExtent l="0" t="1905" r="0"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08F7" id="Rectangle 10" o:spid="_x0000_s1026" style="position:absolute;margin-left:0;margin-top:4.65pt;width:482.4pt;height:28.8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647AF0">
        <w:t>General Requirements</w:t>
      </w:r>
      <w:bookmarkEnd w:id="11"/>
    </w:p>
    <w:p w14:paraId="37371EE3" w14:textId="77777777" w:rsidR="00647AF0" w:rsidRDefault="00647AF0" w:rsidP="0033794B">
      <w:pPr>
        <w:pStyle w:val="Heading3ProgramSection"/>
      </w:pPr>
      <w:r>
        <w:t>Applications</w:t>
      </w:r>
    </w:p>
    <w:p w14:paraId="58A8B684" w14:textId="01B14A8A" w:rsidR="00647AF0" w:rsidRDefault="00647AF0" w:rsidP="00104C81">
      <w:pPr>
        <w:pStyle w:val="BodyText"/>
      </w:pPr>
      <w:r>
        <w:t>In order to be considered for CDBG funding, units of local government must submit an acceptable application that meets all federal a</w:t>
      </w:r>
      <w:r w:rsidR="003E128A">
        <w:t xml:space="preserve">nd state program requirements. </w:t>
      </w:r>
      <w:r>
        <w:t xml:space="preserve">A local government may obtain an application by submitting </w:t>
      </w:r>
      <w:r w:rsidR="00C41741">
        <w:t xml:space="preserve">to the State CDBG Program </w:t>
      </w:r>
      <w:r>
        <w:t>a written request from the chief elected or chief administrative off</w:t>
      </w:r>
      <w:r w:rsidR="003E128A">
        <w:t xml:space="preserve">icial of the local government. </w:t>
      </w:r>
      <w:r>
        <w:t>The Application Request contains a brief description of the proposed project, the number of proposed beneficiaries and an estimate of the percentage of beneficiaries who are LMI (if appropriate), the project location, total project costs, all funding sources, the amount of CDBG funds to be requested and the proposed use of such funds</w:t>
      </w:r>
      <w:r w:rsidR="003E128A">
        <w:t xml:space="preserve">. </w:t>
      </w:r>
      <w:r w:rsidR="00C41741">
        <w:t xml:space="preserve">The State CDBG Program </w:t>
      </w:r>
      <w:r>
        <w:t>may request a meeting with the potential applicant or conduct a site visit to determine eligibility and feasibility prior to mailing an application. Deadlines for applications to be submitted for consideration are specified in each program category described in this Program Description</w:t>
      </w:r>
      <w:r w:rsidR="006855C9">
        <w:t xml:space="preserve"> or as indicated when the application is mailed to the applicant</w:t>
      </w:r>
      <w:r>
        <w:t>.</w:t>
      </w:r>
    </w:p>
    <w:p w14:paraId="5B6ECDCD" w14:textId="77777777" w:rsidR="00F33758" w:rsidRDefault="00F33758" w:rsidP="00104C81">
      <w:pPr>
        <w:pStyle w:val="BodyText"/>
      </w:pPr>
    </w:p>
    <w:p w14:paraId="44DA283C" w14:textId="77777777" w:rsidR="00647AF0" w:rsidRDefault="00647AF0" w:rsidP="0033794B">
      <w:pPr>
        <w:pStyle w:val="Heading3ProgramSection"/>
      </w:pPr>
      <w:r>
        <w:t>Citizen Participation</w:t>
      </w:r>
    </w:p>
    <w:p w14:paraId="00465BD2" w14:textId="09854F27" w:rsidR="00647AF0" w:rsidRDefault="00647AF0" w:rsidP="00104C81">
      <w:pPr>
        <w:pStyle w:val="BodyText"/>
      </w:pPr>
      <w:r>
        <w:t xml:space="preserve">Units of local government wishing to participate in the </w:t>
      </w:r>
      <w:r w:rsidR="00C41741">
        <w:t xml:space="preserve">State </w:t>
      </w:r>
      <w:r>
        <w:t xml:space="preserve">CDBG </w:t>
      </w:r>
      <w:r w:rsidR="00C41741">
        <w:t xml:space="preserve">Program </w:t>
      </w:r>
      <w:r>
        <w:t>must provide for participation by citizens in the planning and implementation of any project involving CDBG</w:t>
      </w:r>
      <w:r w:rsidR="003E128A">
        <w:t xml:space="preserve"> funds. </w:t>
      </w:r>
      <w:r>
        <w:t>Units of local government are required to develop and follow a written citizen participation plan</w:t>
      </w:r>
      <w:r w:rsidR="00705469">
        <w:t>,</w:t>
      </w:r>
      <w:r>
        <w:t xml:space="preserve"> to conduct a community needs assessment to identify the community revitalization and economic development needs of the local government and LMI persons</w:t>
      </w:r>
      <w:r w:rsidR="00705469">
        <w:t>,</w:t>
      </w:r>
      <w:r>
        <w:t xml:space="preserve"> and to hold public hearings regarding these identified needs and proposed and completed activities in accordance with the federal and state program requirements and guidelines.</w:t>
      </w:r>
    </w:p>
    <w:p w14:paraId="263D287C" w14:textId="77777777" w:rsidR="00647AF0" w:rsidRDefault="00647AF0" w:rsidP="00104C81">
      <w:pPr>
        <w:pStyle w:val="BodyText"/>
        <w:rPr>
          <w:u w:val="single"/>
        </w:rPr>
      </w:pPr>
    </w:p>
    <w:p w14:paraId="1346E26F" w14:textId="77777777" w:rsidR="00647AF0" w:rsidRDefault="00647AF0" w:rsidP="0033794B">
      <w:pPr>
        <w:pStyle w:val="Heading3ProgramSection"/>
      </w:pPr>
      <w:r>
        <w:t>Performance Thresholds</w:t>
      </w:r>
    </w:p>
    <w:p w14:paraId="7558E8CD" w14:textId="5EE01368" w:rsidR="00647AF0" w:rsidRDefault="00647AF0" w:rsidP="33888523">
      <w:pPr>
        <w:pStyle w:val="BodyText"/>
        <w:rPr>
          <w:u w:val="single"/>
        </w:rPr>
      </w:pPr>
      <w:r>
        <w:t xml:space="preserve">In order to participate in the </w:t>
      </w:r>
      <w:r w:rsidR="00C41741">
        <w:t xml:space="preserve">State </w:t>
      </w:r>
      <w:r>
        <w:t xml:space="preserve">CDBG </w:t>
      </w:r>
      <w:r w:rsidR="00C41741">
        <w:t>P</w:t>
      </w:r>
      <w:r>
        <w:t xml:space="preserve">rogram, a unit of local government must be able to meet certain performance threshold requirements for </w:t>
      </w:r>
      <w:r w:rsidR="00C41741">
        <w:t xml:space="preserve">state </w:t>
      </w:r>
      <w:r w:rsidR="003E128A">
        <w:t xml:space="preserve">CDBG funds previously awarded. </w:t>
      </w:r>
      <w:r>
        <w:t>These requirements are detailed in the descriptions of each grant categor</w:t>
      </w:r>
      <w:r w:rsidR="003E128A">
        <w:t xml:space="preserve">y in this Program Description. </w:t>
      </w:r>
      <w:r w:rsidR="00C41741">
        <w:t xml:space="preserve">The State CDBG Program </w:t>
      </w:r>
      <w:r>
        <w:t>may waive the threshold requirements where circumstances beyond the control of the applicant were directly responsible for such requirements not being met or in the event of an urgent and compelling need for immediate assistance, such as an imminent health threat to the public</w:t>
      </w:r>
      <w:r w:rsidR="00325342">
        <w:t xml:space="preserve"> or a state or federally declared disaster</w:t>
      </w:r>
      <w:r>
        <w:t>.</w:t>
      </w:r>
    </w:p>
    <w:p w14:paraId="216985D5" w14:textId="09D7B6BF" w:rsidR="00647AF0" w:rsidRDefault="00647AF0" w:rsidP="00104C81">
      <w:pPr>
        <w:pStyle w:val="BodyText"/>
        <w:rPr>
          <w:u w:val="single"/>
        </w:rPr>
      </w:pPr>
      <w:r>
        <w:t xml:space="preserve">  </w:t>
      </w:r>
    </w:p>
    <w:p w14:paraId="78F849AF" w14:textId="2DB0DD14" w:rsidR="00647AF0" w:rsidRDefault="00647AF0" w:rsidP="0033794B">
      <w:pPr>
        <w:pStyle w:val="Heading3ProgramSection"/>
      </w:pPr>
      <w:r>
        <w:t>Certifications and Disclosures</w:t>
      </w:r>
    </w:p>
    <w:p w14:paraId="682FAE37" w14:textId="43BE3CE6" w:rsidR="00647AF0" w:rsidRDefault="00647AF0" w:rsidP="00104C81">
      <w:pPr>
        <w:pStyle w:val="BodyText"/>
      </w:pPr>
      <w:r>
        <w:t xml:space="preserve">All applicants for funding under the State CDBG </w:t>
      </w:r>
      <w:r w:rsidR="00C41741">
        <w:t xml:space="preserve">Program </w:t>
      </w:r>
      <w:r>
        <w:t xml:space="preserve">are required to </w:t>
      </w:r>
      <w:r w:rsidR="00CC4970">
        <w:t xml:space="preserve">comply </w:t>
      </w:r>
      <w:r>
        <w:t>with the provisions in Title I and other applicable federal a</w:t>
      </w:r>
      <w:r w:rsidR="003E128A">
        <w:t xml:space="preserve">nd state laws and regulations. </w:t>
      </w:r>
      <w:r w:rsidR="00CC4970">
        <w:t>Lead a</w:t>
      </w:r>
      <w:r>
        <w:t>pplicants must also provide</w:t>
      </w:r>
      <w:r w:rsidR="00CC4970">
        <w:t xml:space="preserve"> certifications and</w:t>
      </w:r>
      <w:r>
        <w:t xml:space="preserve"> disclosures regarding the amount of assistance sought from </w:t>
      </w:r>
      <w:r w:rsidR="00C41741">
        <w:t xml:space="preserve">the State CDBG Program </w:t>
      </w:r>
      <w:r>
        <w:t xml:space="preserve">and other government entities during the federal fiscal year, the financial </w:t>
      </w:r>
      <w:r>
        <w:lastRenderedPageBreak/>
        <w:t>interests of persons involved in the activities, the sources of funds to be made available for the activities and how such funds will be used as well as any known, potential conflicts of interest.</w:t>
      </w:r>
    </w:p>
    <w:p w14:paraId="083B66B3" w14:textId="77777777" w:rsidR="00647AF0" w:rsidRDefault="00647AF0" w:rsidP="00104C81">
      <w:pPr>
        <w:pStyle w:val="BodyText"/>
        <w:rPr>
          <w:u w:val="single"/>
        </w:rPr>
      </w:pPr>
    </w:p>
    <w:p w14:paraId="69DF9806" w14:textId="77777777" w:rsidR="00647AF0" w:rsidRDefault="00647AF0" w:rsidP="0033794B">
      <w:pPr>
        <w:pStyle w:val="Heading3ProgramSection"/>
      </w:pPr>
      <w:r>
        <w:t>Residential Anti-displacement and Relocation Assistance Plan</w:t>
      </w:r>
    </w:p>
    <w:p w14:paraId="41D80475" w14:textId="77777777" w:rsidR="00404A16" w:rsidRDefault="00653727" w:rsidP="00104C81">
      <w:pPr>
        <w:pStyle w:val="BodyText"/>
      </w:pPr>
      <w:r>
        <w:t>The State certi</w:t>
      </w:r>
      <w:r w:rsidR="001B1368">
        <w:t>fies that it will</w:t>
      </w:r>
      <w:r>
        <w:t xml:space="preserve"> undertake activities that minimize </w:t>
      </w:r>
      <w:r w:rsidR="001B1368">
        <w:t xml:space="preserve">the </w:t>
      </w:r>
      <w:r>
        <w:t xml:space="preserve">displacement of persons or businesses. </w:t>
      </w:r>
      <w:r w:rsidR="00404A16">
        <w:t xml:space="preserve">CDBG funds should not be used to carry out activities that result in displacement unless there is a public health </w:t>
      </w:r>
      <w:r w:rsidR="00B4554B">
        <w:t>or</w:t>
      </w:r>
      <w:r w:rsidR="00404A16">
        <w:t xml:space="preserve"> safety threat. Local governments must also make such certification and must demonstrate that there are no other feasible alternatives. </w:t>
      </w:r>
    </w:p>
    <w:p w14:paraId="172FD406" w14:textId="77777777" w:rsidR="00404A16" w:rsidRDefault="00404A16" w:rsidP="00104C81">
      <w:pPr>
        <w:pStyle w:val="BodyText"/>
      </w:pPr>
    </w:p>
    <w:p w14:paraId="20E5A3A7" w14:textId="77777777" w:rsidR="00647AF0" w:rsidRPr="00404A16" w:rsidRDefault="00647AF0" w:rsidP="00104C81">
      <w:pPr>
        <w:pStyle w:val="BodyText"/>
      </w:pPr>
      <w:r>
        <w:t xml:space="preserve">Section 104(d) provides that a grant </w:t>
      </w:r>
      <w:r w:rsidR="009E0A56">
        <w:t xml:space="preserve">funded under </w:t>
      </w:r>
      <w:r>
        <w:t>CDBG may be made by the State only if the applicant certifies that it is following a "residential anti-displacement and relocatio</w:t>
      </w:r>
      <w:r w:rsidR="003E128A">
        <w:t xml:space="preserve">n assistance plan" (the Plan). </w:t>
      </w:r>
      <w:r>
        <w:t>The Plan must contain at least two components: (l) a requirement to replace all LMI dwelling units that are demolished or converted to a use other than LMI housing as a direct result of CDBG assistance; and, (2) a relocation assistance component (which also addresses the applicant's efforts to minimize</w:t>
      </w:r>
      <w:r w:rsidR="003E128A">
        <w:t xml:space="preserve"> the displacement of persons). </w:t>
      </w:r>
      <w:r>
        <w:t>Both components must meet the HUD requirements at 24 CFR 570.488.</w:t>
      </w:r>
    </w:p>
    <w:p w14:paraId="24C3FD5C" w14:textId="77777777" w:rsidR="00647AF0" w:rsidRDefault="00647AF0" w:rsidP="00104C81">
      <w:pPr>
        <w:pStyle w:val="BodyText"/>
      </w:pPr>
    </w:p>
    <w:p w14:paraId="0DDB7509" w14:textId="38B5DD29" w:rsidR="00647AF0" w:rsidRDefault="00C41741" w:rsidP="00104C81">
      <w:pPr>
        <w:pStyle w:val="BodyText"/>
      </w:pPr>
      <w:r>
        <w:t xml:space="preserve">The State CDBG Program </w:t>
      </w:r>
      <w:r w:rsidR="00647AF0">
        <w:t xml:space="preserve">will not require the Plan to be submitted with an application unless CDBG activities that would involve the Plan </w:t>
      </w:r>
      <w:r w:rsidR="003E128A">
        <w:t xml:space="preserve">are proposed to be undertaken. </w:t>
      </w:r>
      <w:r w:rsidR="00647AF0">
        <w:t>The State CDBG Program Implementation Manual provides guidance on the preparation of the Plan.</w:t>
      </w:r>
    </w:p>
    <w:p w14:paraId="3725A01B" w14:textId="77777777" w:rsidR="0052557D" w:rsidRDefault="0052557D" w:rsidP="00104C81">
      <w:pPr>
        <w:pStyle w:val="BodyText"/>
      </w:pPr>
    </w:p>
    <w:p w14:paraId="397BEA60" w14:textId="77777777" w:rsidR="0052557D" w:rsidRDefault="0052557D" w:rsidP="0052557D">
      <w:pPr>
        <w:pStyle w:val="Heading3ProgramSection"/>
      </w:pPr>
      <w:r>
        <w:t>Application Assistance</w:t>
      </w:r>
    </w:p>
    <w:p w14:paraId="61DB320D" w14:textId="6F955701" w:rsidR="00647AF0" w:rsidRDefault="0052557D" w:rsidP="00104C81">
      <w:pPr>
        <w:pStyle w:val="BodyText"/>
      </w:pPr>
      <w:r>
        <w:t xml:space="preserve">The </w:t>
      </w:r>
      <w:r w:rsidR="00651051">
        <w:t>S</w:t>
      </w:r>
      <w:r>
        <w:t xml:space="preserve">tate publishes Application Guidelines and annually </w:t>
      </w:r>
      <w:r w:rsidR="007235E9">
        <w:t>provides technical assistance</w:t>
      </w:r>
      <w:r>
        <w:t xml:space="preserve"> to </w:t>
      </w:r>
      <w:r w:rsidR="007235E9">
        <w:t xml:space="preserve">help </w:t>
      </w:r>
      <w:r>
        <w:t xml:space="preserve">potential applicants in </w:t>
      </w:r>
      <w:r w:rsidR="007235E9">
        <w:t>applying for CDBG funding. The Application G</w:t>
      </w:r>
      <w:r>
        <w:t xml:space="preserve">uidelines </w:t>
      </w:r>
      <w:r w:rsidR="00C41741">
        <w:t xml:space="preserve">can be downloaded from </w:t>
      </w:r>
      <w:r>
        <w:t xml:space="preserve">the website </w:t>
      </w:r>
      <w:hyperlink r:id="rId16" w:history="1">
        <w:r w:rsidR="00740101" w:rsidRPr="00462FAD">
          <w:rPr>
            <w:rStyle w:val="Hyperlink"/>
          </w:rPr>
          <w:t>www.cdbgsc.com</w:t>
        </w:r>
      </w:hyperlink>
      <w:r w:rsidR="00C41741">
        <w:rPr>
          <w:rStyle w:val="Hyperlink"/>
        </w:rPr>
        <w:t>.</w:t>
      </w:r>
      <w:r>
        <w:t xml:space="preserve"> </w:t>
      </w:r>
    </w:p>
    <w:p w14:paraId="311BFA02" w14:textId="77777777" w:rsidR="007F580F" w:rsidRDefault="007F580F" w:rsidP="00104C81">
      <w:pPr>
        <w:pStyle w:val="BodyText"/>
      </w:pPr>
    </w:p>
    <w:p w14:paraId="1952FE0A" w14:textId="77777777" w:rsidR="00FE5121" w:rsidRDefault="00FE5121" w:rsidP="00104C81">
      <w:pPr>
        <w:pStyle w:val="BodyText"/>
      </w:pPr>
    </w:p>
    <w:bookmarkStart w:id="12" w:name="_Toc153828336"/>
    <w:p w14:paraId="1FE87AE9" w14:textId="098253EF" w:rsidR="007D1867" w:rsidRDefault="00117155" w:rsidP="00F33758">
      <w:pPr>
        <w:pStyle w:val="Heading1"/>
      </w:pPr>
      <w:r>
        <w:rPr>
          <w:noProof/>
        </w:rPr>
        <mc:AlternateContent>
          <mc:Choice Requires="wps">
            <w:drawing>
              <wp:anchor distT="0" distB="0" distL="114300" distR="114300" simplePos="0" relativeHeight="251658249" behindDoc="1" locked="0" layoutInCell="1" allowOverlap="1" wp14:anchorId="57C2A430" wp14:editId="01B14A76">
                <wp:simplePos x="0" y="0"/>
                <wp:positionH relativeFrom="column">
                  <wp:posOffset>0</wp:posOffset>
                </wp:positionH>
                <wp:positionV relativeFrom="paragraph">
                  <wp:posOffset>59055</wp:posOffset>
                </wp:positionV>
                <wp:extent cx="6126480" cy="365760"/>
                <wp:effectExtent l="0" t="1905"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08A44" id="Rectangle 9" o:spid="_x0000_s1026" style="position:absolute;margin-left:0;margin-top:4.65pt;width:482.4pt;height:28.8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647AF0" w:rsidRPr="00647AF0">
        <w:t>Access to State Records and Program Information</w:t>
      </w:r>
      <w:bookmarkEnd w:id="12"/>
    </w:p>
    <w:p w14:paraId="2FEFF436" w14:textId="737867C6" w:rsidR="00F45AD5" w:rsidRDefault="003C13F2" w:rsidP="00104C81">
      <w:pPr>
        <w:pStyle w:val="BodyText"/>
      </w:pPr>
      <w:r>
        <w:t xml:space="preserve">Program information is </w:t>
      </w:r>
      <w:r w:rsidR="00F86FF8">
        <w:t>posted on and can be downloaded from</w:t>
      </w:r>
      <w:r>
        <w:t xml:space="preserve"> the State CDBG Program website – </w:t>
      </w:r>
      <w:hyperlink r:id="rId17" w:history="1">
        <w:r w:rsidRPr="007427DB">
          <w:rPr>
            <w:rStyle w:val="Hyperlink"/>
          </w:rPr>
          <w:t>www.cdbgSC.com</w:t>
        </w:r>
      </w:hyperlink>
      <w:r>
        <w:t xml:space="preserve">. </w:t>
      </w:r>
      <w:r w:rsidR="00DB2A24">
        <w:t xml:space="preserve">Or interested individuals may contact the State CDBG Program, by emailing </w:t>
      </w:r>
      <w:hyperlink r:id="rId18" w:history="1">
        <w:r w:rsidR="00B26B3E" w:rsidRPr="007427DB">
          <w:rPr>
            <w:rStyle w:val="Hyperlink"/>
          </w:rPr>
          <w:t>sc-cdbg@sccommerce.com</w:t>
        </w:r>
      </w:hyperlink>
      <w:r w:rsidR="00B26B3E">
        <w:t xml:space="preserve"> or calling </w:t>
      </w:r>
      <w:r w:rsidR="00F60DE0">
        <w:t>(803) 734-0429</w:t>
      </w:r>
      <w:r w:rsidR="00FB54B4">
        <w:t xml:space="preserve"> </w:t>
      </w:r>
      <w:r w:rsidR="000E3FAA">
        <w:t xml:space="preserve">(VOICE) or </w:t>
      </w:r>
      <w:r w:rsidR="00FE7AC0">
        <w:t xml:space="preserve">(803) </w:t>
      </w:r>
      <w:r w:rsidR="005464FC">
        <w:t xml:space="preserve">734-0555 (TTY 711). </w:t>
      </w:r>
    </w:p>
    <w:p w14:paraId="645D5151" w14:textId="77777777" w:rsidR="00F45AD5" w:rsidRDefault="00F45AD5" w:rsidP="00104C81">
      <w:pPr>
        <w:pStyle w:val="BodyText"/>
      </w:pPr>
    </w:p>
    <w:p w14:paraId="34BFF5BE" w14:textId="3BC7C382" w:rsidR="00363979" w:rsidRDefault="00647AF0" w:rsidP="00104C81">
      <w:pPr>
        <w:pStyle w:val="BodyText"/>
      </w:pPr>
      <w:r>
        <w:t xml:space="preserve">The procedures for the review of State CDBG </w:t>
      </w:r>
      <w:r w:rsidR="00C41741">
        <w:t xml:space="preserve">Program </w:t>
      </w:r>
      <w:r>
        <w:t>records are in accordance with the Freedom of</w:t>
      </w:r>
      <w:r w:rsidR="003E128A">
        <w:t xml:space="preserve"> Information and Privacy Acts. </w:t>
      </w:r>
      <w:r>
        <w:t xml:space="preserve">Records related to the use of </w:t>
      </w:r>
      <w:r w:rsidR="00C41741">
        <w:t xml:space="preserve">State </w:t>
      </w:r>
      <w:r>
        <w:t xml:space="preserve">CDBG funds administered by the State are available for public review upon request at the SC Department of Commerce, </w:t>
      </w:r>
      <w:r w:rsidR="00C41741">
        <w:t>Division of Business Incentives &amp; Community Development</w:t>
      </w:r>
      <w:r>
        <w:t>, 1201 Main Street, Suite 1600, Columbia, SC 29201 between 8:30</w:t>
      </w:r>
      <w:r w:rsidR="003E128A">
        <w:t> </w:t>
      </w:r>
      <w:r>
        <w:t>a.m. and 5:00</w:t>
      </w:r>
      <w:r w:rsidR="003E128A">
        <w:t> </w:t>
      </w:r>
      <w:r w:rsidR="00961486">
        <w:t xml:space="preserve">p.m., </w:t>
      </w:r>
      <w:r>
        <w:t>Monday through F</w:t>
      </w:r>
      <w:r w:rsidR="003E128A">
        <w:t xml:space="preserve">riday. </w:t>
      </w:r>
      <w:r>
        <w:t xml:space="preserve">Persons wishing to review such records or who would like additional information </w:t>
      </w:r>
      <w:r w:rsidR="00C41741">
        <w:t xml:space="preserve">should contact </w:t>
      </w:r>
      <w:r>
        <w:t xml:space="preserve">the </w:t>
      </w:r>
      <w:r w:rsidR="00C41741">
        <w:t xml:space="preserve">State </w:t>
      </w:r>
      <w:r>
        <w:t xml:space="preserve">CDBG </w:t>
      </w:r>
      <w:r w:rsidR="00C41741">
        <w:t>P</w:t>
      </w:r>
      <w:r>
        <w:t xml:space="preserve">rogram </w:t>
      </w:r>
      <w:r w:rsidR="00C41741">
        <w:t>-</w:t>
      </w:r>
      <w:r>
        <w:t xml:space="preserve"> Phone: (803) 734-0429</w:t>
      </w:r>
      <w:r w:rsidR="008E4C33">
        <w:t xml:space="preserve"> (VOICE) or </w:t>
      </w:r>
      <w:r w:rsidR="008E4C33" w:rsidRPr="008E4C33">
        <w:t>(803) 734-0555 (TTY 711)</w:t>
      </w:r>
      <w:r>
        <w:t>.</w:t>
      </w:r>
    </w:p>
    <w:p w14:paraId="43433D3C" w14:textId="77777777" w:rsidR="00141E65" w:rsidRDefault="00141E65" w:rsidP="00104C81">
      <w:pPr>
        <w:pStyle w:val="BodyText"/>
      </w:pPr>
    </w:p>
    <w:p w14:paraId="0590FE04" w14:textId="77777777" w:rsidR="00141E65" w:rsidRDefault="00141E65" w:rsidP="00104C81">
      <w:pPr>
        <w:pStyle w:val="BodyText"/>
      </w:pPr>
    </w:p>
    <w:bookmarkStart w:id="13" w:name="_Toc153828337"/>
    <w:p w14:paraId="266DA36A" w14:textId="081FDDDA" w:rsidR="007D1867" w:rsidRDefault="00117155" w:rsidP="00260868">
      <w:pPr>
        <w:pStyle w:val="Heading1"/>
        <w:pageBreakBefore/>
      </w:pPr>
      <w:r>
        <w:rPr>
          <w:noProof/>
        </w:rPr>
        <w:lastRenderedPageBreak/>
        <mc:AlternateContent>
          <mc:Choice Requires="wps">
            <w:drawing>
              <wp:anchor distT="0" distB="0" distL="114300" distR="114300" simplePos="0" relativeHeight="251658250" behindDoc="1" locked="0" layoutInCell="1" allowOverlap="1" wp14:anchorId="6121B335" wp14:editId="5D365320">
                <wp:simplePos x="0" y="0"/>
                <wp:positionH relativeFrom="column">
                  <wp:posOffset>0</wp:posOffset>
                </wp:positionH>
                <wp:positionV relativeFrom="paragraph">
                  <wp:posOffset>59055</wp:posOffset>
                </wp:positionV>
                <wp:extent cx="6126480" cy="365760"/>
                <wp:effectExtent l="0" t="1905"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B4F4F" id="Rectangle 8" o:spid="_x0000_s1026" style="position:absolute;margin-left:0;margin-top:4.65pt;width:482.4pt;height:28.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104C81" w:rsidRPr="00277D7B">
        <w:t>Funding Distributio</w:t>
      </w:r>
      <w:r w:rsidR="00647AF0" w:rsidRPr="00647AF0">
        <w:t>n</w:t>
      </w:r>
      <w:bookmarkEnd w:id="13"/>
    </w:p>
    <w:p w14:paraId="5722E9AE" w14:textId="0F974314" w:rsidR="00104C81" w:rsidRDefault="00AD1BAB" w:rsidP="00104C81">
      <w:pPr>
        <w:pStyle w:val="BodyText"/>
      </w:pPr>
      <w:r w:rsidRPr="00B0407E">
        <w:t>The State of South Carolina</w:t>
      </w:r>
      <w:r w:rsidR="0003277D">
        <w:t xml:space="preserve"> receive</w:t>
      </w:r>
      <w:r w:rsidR="003A2F54">
        <w:t>d</w:t>
      </w:r>
      <w:r w:rsidR="000446EA">
        <w:t xml:space="preserve"> </w:t>
      </w:r>
      <w:r w:rsidR="0057394B" w:rsidRPr="0057394B">
        <w:t>$</w:t>
      </w:r>
      <w:r w:rsidR="00DA4DB1" w:rsidRPr="00DA4DB1">
        <w:t>19,</w:t>
      </w:r>
      <w:r w:rsidR="003A2F54">
        <w:t>809,810.00</w:t>
      </w:r>
      <w:r w:rsidR="0057394B">
        <w:t xml:space="preserve"> </w:t>
      </w:r>
      <w:r w:rsidR="0003277D">
        <w:t xml:space="preserve">as </w:t>
      </w:r>
      <w:r w:rsidR="00243EB5">
        <w:t>its</w:t>
      </w:r>
      <w:r w:rsidRPr="00B0407E">
        <w:t xml:space="preserve"> </w:t>
      </w:r>
      <w:r w:rsidR="00EB3A02">
        <w:t xml:space="preserve">2024 </w:t>
      </w:r>
      <w:r w:rsidRPr="00B0407E">
        <w:t>CDBG allocation from HUD</w:t>
      </w:r>
      <w:r w:rsidR="00FF39E4">
        <w:t xml:space="preserve">.  </w:t>
      </w:r>
      <w:r w:rsidR="00243EB5">
        <w:t xml:space="preserve">Based on </w:t>
      </w:r>
      <w:r w:rsidR="00EB3A02">
        <w:t xml:space="preserve"> 2024 </w:t>
      </w:r>
      <w:r w:rsidR="00243EB5">
        <w:t>funding,</w:t>
      </w:r>
      <w:r w:rsidR="00031EB1">
        <w:t xml:space="preserve"> the State </w:t>
      </w:r>
      <w:r w:rsidR="003A2F54">
        <w:t xml:space="preserve">will distribute funds based on the chart shown below. </w:t>
      </w:r>
      <w:r w:rsidR="00104C81" w:rsidRPr="00B1707B">
        <w:t>(</w:t>
      </w:r>
      <w:r w:rsidR="0079220E">
        <w:t xml:space="preserve">Note that </w:t>
      </w:r>
      <w:r w:rsidR="00104C81" w:rsidRPr="00B1707B">
        <w:t xml:space="preserve">italicized amounts are breakdowns </w:t>
      </w:r>
      <w:r w:rsidR="000031C4" w:rsidRPr="00B1707B">
        <w:t xml:space="preserve">of the </w:t>
      </w:r>
      <w:r w:rsidR="005C1E92" w:rsidRPr="00B1707B">
        <w:t>Community Development P</w:t>
      </w:r>
      <w:r w:rsidR="000031C4" w:rsidRPr="00B1707B">
        <w:t xml:space="preserve">rogram </w:t>
      </w:r>
      <w:r w:rsidR="0079220E">
        <w:t xml:space="preserve">total </w:t>
      </w:r>
      <w:r w:rsidR="000031C4" w:rsidRPr="00B1707B">
        <w:t>amount</w:t>
      </w:r>
      <w:r w:rsidR="0079220E">
        <w:t>.</w:t>
      </w:r>
      <w:r w:rsidR="000031C4" w:rsidRPr="00B1707B">
        <w:t>)</w:t>
      </w:r>
      <w:r w:rsidR="001353E5" w:rsidRPr="00B1707B">
        <w:t xml:space="preserve"> </w:t>
      </w:r>
    </w:p>
    <w:p w14:paraId="716B9FAF" w14:textId="77777777" w:rsidR="00715243" w:rsidRPr="00B1707B" w:rsidRDefault="00715243" w:rsidP="00104C81">
      <w:pPr>
        <w:pStyle w:val="BodyText"/>
      </w:pPr>
    </w:p>
    <w:p w14:paraId="48D9F6DB" w14:textId="77777777" w:rsidR="005921A5" w:rsidRPr="00B1707B" w:rsidRDefault="005921A5" w:rsidP="0079220E">
      <w:pPr>
        <w:pStyle w:val="BodyText"/>
        <w:jc w:val="center"/>
      </w:pPr>
    </w:p>
    <w:tbl>
      <w:tblPr>
        <w:tblW w:w="0" w:type="auto"/>
        <w:jc w:val="center"/>
        <w:tblLayout w:type="fixed"/>
        <w:tblCellMar>
          <w:left w:w="190" w:type="dxa"/>
          <w:right w:w="190" w:type="dxa"/>
        </w:tblCellMar>
        <w:tblLook w:val="0000" w:firstRow="0" w:lastRow="0" w:firstColumn="0" w:lastColumn="0" w:noHBand="0" w:noVBand="0"/>
      </w:tblPr>
      <w:tblGrid>
        <w:gridCol w:w="5980"/>
        <w:gridCol w:w="2200"/>
      </w:tblGrid>
      <w:tr w:rsidR="00104C81" w:rsidRPr="00B1707B" w14:paraId="3762E39E" w14:textId="77777777" w:rsidTr="6C388AA2">
        <w:trPr>
          <w:cantSplit/>
          <w:trHeight w:val="499"/>
          <w:jc w:val="center"/>
        </w:trPr>
        <w:tc>
          <w:tcPr>
            <w:tcW w:w="5980" w:type="dxa"/>
            <w:tcBorders>
              <w:top w:val="single" w:sz="12" w:space="0" w:color="auto"/>
              <w:left w:val="single" w:sz="12" w:space="0" w:color="auto"/>
              <w:bottom w:val="single" w:sz="6" w:space="0" w:color="auto"/>
              <w:right w:val="nil"/>
            </w:tcBorders>
            <w:vAlign w:val="center"/>
          </w:tcPr>
          <w:p w14:paraId="6CE01A2E" w14:textId="77777777" w:rsidR="00104C81" w:rsidRPr="00B1707B" w:rsidRDefault="00104C81" w:rsidP="00BB08EE">
            <w:pPr>
              <w:pStyle w:val="TableHeaders"/>
            </w:pPr>
            <w:bookmarkStart w:id="14" w:name="OLE_LINK4"/>
            <w:r w:rsidRPr="00B1707B">
              <w:t>Category</w:t>
            </w:r>
          </w:p>
        </w:tc>
        <w:tc>
          <w:tcPr>
            <w:tcW w:w="2200" w:type="dxa"/>
            <w:tcBorders>
              <w:top w:val="single" w:sz="12" w:space="0" w:color="auto"/>
              <w:left w:val="single" w:sz="12" w:space="0" w:color="auto"/>
              <w:bottom w:val="single" w:sz="6" w:space="0" w:color="auto"/>
              <w:right w:val="single" w:sz="12" w:space="0" w:color="auto"/>
            </w:tcBorders>
            <w:vAlign w:val="center"/>
          </w:tcPr>
          <w:p w14:paraId="6C5942C1" w14:textId="77777777" w:rsidR="00104C81" w:rsidRPr="00B1707B" w:rsidRDefault="00104C81" w:rsidP="00BB08EE">
            <w:pPr>
              <w:pStyle w:val="TableHeaders"/>
            </w:pPr>
            <w:r w:rsidRPr="00B1707B">
              <w:t>Amount</w:t>
            </w:r>
          </w:p>
        </w:tc>
      </w:tr>
      <w:tr w:rsidR="00104C81" w:rsidRPr="00B1707B" w14:paraId="475925C6" w14:textId="77777777" w:rsidTr="6C388AA2">
        <w:trPr>
          <w:cantSplit/>
          <w:trHeight w:val="324"/>
          <w:jc w:val="center"/>
        </w:trPr>
        <w:tc>
          <w:tcPr>
            <w:tcW w:w="5980" w:type="dxa"/>
            <w:tcBorders>
              <w:top w:val="nil"/>
              <w:left w:val="single" w:sz="12" w:space="0" w:color="auto"/>
              <w:bottom w:val="single" w:sz="6" w:space="0" w:color="auto"/>
              <w:right w:val="nil"/>
            </w:tcBorders>
            <w:vAlign w:val="bottom"/>
          </w:tcPr>
          <w:p w14:paraId="67C307D4" w14:textId="77777777" w:rsidR="00104C81" w:rsidRPr="00B1707B" w:rsidRDefault="00104C81" w:rsidP="00C466C4">
            <w:pPr>
              <w:tabs>
                <w:tab w:val="left" w:pos="3240"/>
                <w:tab w:val="left" w:pos="5040"/>
                <w:tab w:val="left" w:pos="7200"/>
              </w:tabs>
            </w:pPr>
            <w:r w:rsidRPr="00B1707B">
              <w:t>Community Development Programs</w:t>
            </w:r>
          </w:p>
        </w:tc>
        <w:tc>
          <w:tcPr>
            <w:tcW w:w="2200" w:type="dxa"/>
            <w:tcBorders>
              <w:top w:val="nil"/>
              <w:left w:val="single" w:sz="12" w:space="0" w:color="auto"/>
              <w:bottom w:val="single" w:sz="6" w:space="0" w:color="auto"/>
              <w:right w:val="single" w:sz="12" w:space="0" w:color="auto"/>
            </w:tcBorders>
            <w:vAlign w:val="bottom"/>
          </w:tcPr>
          <w:p w14:paraId="40102B47" w14:textId="15EB4616" w:rsidR="00576A0A" w:rsidRPr="005E05BD" w:rsidRDefault="00DA4DB1" w:rsidP="009C40BE">
            <w:pPr>
              <w:tabs>
                <w:tab w:val="right" w:pos="1232"/>
                <w:tab w:val="left" w:pos="3240"/>
                <w:tab w:val="left" w:pos="5040"/>
                <w:tab w:val="left" w:pos="7200"/>
              </w:tabs>
            </w:pPr>
            <w:r>
              <w:t>$1</w:t>
            </w:r>
            <w:r w:rsidR="261AC908">
              <w:t>7</w:t>
            </w:r>
            <w:r>
              <w:t>,</w:t>
            </w:r>
            <w:r w:rsidR="003A2F54">
              <w:t>61</w:t>
            </w:r>
            <w:r w:rsidR="007C2748">
              <w:t>5</w:t>
            </w:r>
            <w:r w:rsidR="003A2F54">
              <w:t>,</w:t>
            </w:r>
            <w:r w:rsidR="007C2748">
              <w:t>516</w:t>
            </w:r>
          </w:p>
        </w:tc>
      </w:tr>
      <w:tr w:rsidR="003D3F2D" w:rsidRPr="00B1707B" w14:paraId="1D2D9381"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420AF4BF" w14:textId="12782487" w:rsidR="003D3F2D" w:rsidRPr="003D3F2D" w:rsidRDefault="003D3F2D" w:rsidP="00F622BB">
            <w:pPr>
              <w:numPr>
                <w:ilvl w:val="0"/>
                <w:numId w:val="9"/>
              </w:numPr>
              <w:tabs>
                <w:tab w:val="num" w:pos="390"/>
                <w:tab w:val="left" w:pos="3240"/>
                <w:tab w:val="left" w:pos="5040"/>
                <w:tab w:val="left" w:pos="7200"/>
              </w:tabs>
              <w:overflowPunct w:val="0"/>
              <w:autoSpaceDE w:val="0"/>
              <w:autoSpaceDN w:val="0"/>
              <w:adjustRightInd w:val="0"/>
              <w:ind w:left="30"/>
              <w:textAlignment w:val="baseline"/>
              <w:rPr>
                <w:i/>
              </w:rPr>
            </w:pPr>
            <w:r w:rsidRPr="003D3F2D">
              <w:rPr>
                <w:i/>
              </w:rPr>
              <w:t>Community Infrastructure</w:t>
            </w:r>
          </w:p>
        </w:tc>
        <w:tc>
          <w:tcPr>
            <w:tcW w:w="2200" w:type="dxa"/>
            <w:tcBorders>
              <w:top w:val="single" w:sz="6" w:space="0" w:color="auto"/>
              <w:left w:val="single" w:sz="12" w:space="0" w:color="auto"/>
              <w:bottom w:val="single" w:sz="6" w:space="0" w:color="auto"/>
              <w:right w:val="single" w:sz="12" w:space="0" w:color="auto"/>
            </w:tcBorders>
            <w:vAlign w:val="bottom"/>
          </w:tcPr>
          <w:p w14:paraId="395C18BB" w14:textId="3B527A60" w:rsidR="003D3F2D" w:rsidRPr="003D3F2D" w:rsidRDefault="00576A0A" w:rsidP="6C388AA2">
            <w:pPr>
              <w:tabs>
                <w:tab w:val="right" w:pos="1232"/>
                <w:tab w:val="left" w:pos="3240"/>
                <w:tab w:val="left" w:pos="5040"/>
                <w:tab w:val="left" w:pos="7200"/>
              </w:tabs>
              <w:jc w:val="right"/>
              <w:rPr>
                <w:i/>
                <w:iCs/>
              </w:rPr>
            </w:pPr>
            <w:r w:rsidRPr="6C388AA2">
              <w:rPr>
                <w:i/>
                <w:iCs/>
              </w:rPr>
              <w:t>$</w:t>
            </w:r>
            <w:r w:rsidR="20B5668A" w:rsidRPr="6C388AA2">
              <w:rPr>
                <w:i/>
                <w:iCs/>
              </w:rPr>
              <w:t>9</w:t>
            </w:r>
            <w:r w:rsidR="0030600B" w:rsidRPr="6C388AA2">
              <w:rPr>
                <w:i/>
                <w:iCs/>
              </w:rPr>
              <w:t>,000</w:t>
            </w:r>
            <w:r w:rsidR="1DED5DA7" w:rsidRPr="6C388AA2">
              <w:rPr>
                <w:i/>
                <w:iCs/>
              </w:rPr>
              <w:t>,</w:t>
            </w:r>
            <w:r w:rsidR="0030600B" w:rsidRPr="6C388AA2">
              <w:rPr>
                <w:i/>
                <w:iCs/>
              </w:rPr>
              <w:t>000</w:t>
            </w:r>
          </w:p>
        </w:tc>
      </w:tr>
      <w:tr w:rsidR="003D3F2D" w:rsidRPr="00B1707B" w14:paraId="2AD806E9"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78807FF8" w14:textId="77777777" w:rsidR="003D3F2D" w:rsidRPr="003D3F2D" w:rsidRDefault="003D3F2D" w:rsidP="00911774">
            <w:pPr>
              <w:numPr>
                <w:ilvl w:val="0"/>
                <w:numId w:val="9"/>
              </w:numPr>
              <w:tabs>
                <w:tab w:val="num" w:pos="390"/>
                <w:tab w:val="left" w:pos="3240"/>
                <w:tab w:val="left" w:pos="5040"/>
                <w:tab w:val="left" w:pos="7200"/>
              </w:tabs>
              <w:overflowPunct w:val="0"/>
              <w:autoSpaceDE w:val="0"/>
              <w:autoSpaceDN w:val="0"/>
              <w:adjustRightInd w:val="0"/>
              <w:ind w:left="30"/>
              <w:textAlignment w:val="baseline"/>
              <w:rPr>
                <w:i/>
              </w:rPr>
            </w:pPr>
            <w:r w:rsidRPr="003D3F2D">
              <w:rPr>
                <w:i/>
              </w:rPr>
              <w:t>Community Enrichment</w:t>
            </w:r>
            <w:r w:rsidR="00B1036F">
              <w:rPr>
                <w:i/>
              </w:rPr>
              <w:t>*</w:t>
            </w:r>
          </w:p>
        </w:tc>
        <w:tc>
          <w:tcPr>
            <w:tcW w:w="2200" w:type="dxa"/>
            <w:tcBorders>
              <w:top w:val="single" w:sz="6" w:space="0" w:color="auto"/>
              <w:left w:val="single" w:sz="12" w:space="0" w:color="auto"/>
              <w:bottom w:val="single" w:sz="6" w:space="0" w:color="auto"/>
              <w:right w:val="single" w:sz="12" w:space="0" w:color="auto"/>
            </w:tcBorders>
            <w:vAlign w:val="bottom"/>
          </w:tcPr>
          <w:p w14:paraId="74BA5190" w14:textId="495D03F0" w:rsidR="003D3F2D" w:rsidRPr="003D3F2D" w:rsidRDefault="003D3F2D" w:rsidP="6C388AA2">
            <w:pPr>
              <w:tabs>
                <w:tab w:val="right" w:pos="1232"/>
                <w:tab w:val="left" w:pos="3240"/>
                <w:tab w:val="left" w:pos="5040"/>
                <w:tab w:val="left" w:pos="7200"/>
              </w:tabs>
              <w:jc w:val="right"/>
              <w:rPr>
                <w:i/>
                <w:iCs/>
              </w:rPr>
            </w:pPr>
            <w:r w:rsidRPr="6C388AA2">
              <w:rPr>
                <w:i/>
                <w:iCs/>
              </w:rPr>
              <w:t>$</w:t>
            </w:r>
            <w:r w:rsidR="00481C8F" w:rsidRPr="6C388AA2">
              <w:rPr>
                <w:i/>
                <w:iCs/>
              </w:rPr>
              <w:t>7</w:t>
            </w:r>
            <w:r w:rsidR="0030600B" w:rsidRPr="6C388AA2">
              <w:rPr>
                <w:i/>
                <w:iCs/>
              </w:rPr>
              <w:t>,</w:t>
            </w:r>
            <w:r w:rsidR="1AFA7595" w:rsidRPr="6C388AA2">
              <w:rPr>
                <w:i/>
                <w:iCs/>
              </w:rPr>
              <w:t>1</w:t>
            </w:r>
            <w:r w:rsidR="003A2F54">
              <w:rPr>
                <w:i/>
                <w:iCs/>
              </w:rPr>
              <w:t>1</w:t>
            </w:r>
            <w:r w:rsidR="00B82605">
              <w:rPr>
                <w:i/>
                <w:iCs/>
              </w:rPr>
              <w:t>5</w:t>
            </w:r>
            <w:r w:rsidR="003A2F54">
              <w:rPr>
                <w:i/>
                <w:iCs/>
              </w:rPr>
              <w:t>,</w:t>
            </w:r>
            <w:r w:rsidR="00390C52">
              <w:rPr>
                <w:i/>
                <w:iCs/>
              </w:rPr>
              <w:t>516</w:t>
            </w:r>
          </w:p>
        </w:tc>
      </w:tr>
      <w:tr w:rsidR="00331D91" w:rsidRPr="00B1707B" w14:paraId="3BF6BC2A"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36528A3C" w14:textId="3AAF1319" w:rsidR="00331D91" w:rsidRPr="003D3F2D" w:rsidDel="00481C8F" w:rsidRDefault="00D20BF7" w:rsidP="6C388AA2">
            <w:pPr>
              <w:numPr>
                <w:ilvl w:val="0"/>
                <w:numId w:val="9"/>
              </w:numPr>
              <w:tabs>
                <w:tab w:val="num" w:pos="390"/>
                <w:tab w:val="left" w:pos="3240"/>
                <w:tab w:val="left" w:pos="5040"/>
                <w:tab w:val="left" w:pos="7200"/>
              </w:tabs>
              <w:overflowPunct w:val="0"/>
              <w:autoSpaceDE w:val="0"/>
              <w:autoSpaceDN w:val="0"/>
              <w:adjustRightInd w:val="0"/>
              <w:ind w:left="30"/>
              <w:textAlignment w:val="baseline"/>
              <w:rPr>
                <w:i/>
                <w:iCs/>
              </w:rPr>
            </w:pPr>
            <w:r w:rsidRPr="6C388AA2">
              <w:rPr>
                <w:i/>
                <w:iCs/>
              </w:rPr>
              <w:t>Local Priorities</w:t>
            </w:r>
          </w:p>
        </w:tc>
        <w:tc>
          <w:tcPr>
            <w:tcW w:w="2200" w:type="dxa"/>
            <w:tcBorders>
              <w:top w:val="single" w:sz="6" w:space="0" w:color="auto"/>
              <w:left w:val="single" w:sz="12" w:space="0" w:color="auto"/>
              <w:bottom w:val="single" w:sz="6" w:space="0" w:color="auto"/>
              <w:right w:val="single" w:sz="12" w:space="0" w:color="auto"/>
            </w:tcBorders>
            <w:vAlign w:val="bottom"/>
          </w:tcPr>
          <w:p w14:paraId="178DF4D8" w14:textId="4FD2D6C9" w:rsidR="00331D91" w:rsidRPr="003D3F2D" w:rsidDel="00481C8F" w:rsidRDefault="00C41741" w:rsidP="6C388AA2">
            <w:pPr>
              <w:tabs>
                <w:tab w:val="right" w:pos="1232"/>
                <w:tab w:val="left" w:pos="3240"/>
                <w:tab w:val="left" w:pos="5040"/>
                <w:tab w:val="left" w:pos="7200"/>
              </w:tabs>
              <w:jc w:val="right"/>
              <w:rPr>
                <w:i/>
                <w:iCs/>
              </w:rPr>
            </w:pPr>
            <w:r>
              <w:rPr>
                <w:i/>
                <w:iCs/>
              </w:rPr>
              <w:t>$1,000,000</w:t>
            </w:r>
          </w:p>
        </w:tc>
      </w:tr>
      <w:tr w:rsidR="003D3F2D" w:rsidRPr="00B1707B" w14:paraId="2057DA29"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039D6BDB" w14:textId="77777777" w:rsidR="003D3F2D" w:rsidRPr="003D3F2D" w:rsidRDefault="003D3F2D" w:rsidP="00CD4329">
            <w:pPr>
              <w:numPr>
                <w:ilvl w:val="0"/>
                <w:numId w:val="9"/>
              </w:numPr>
              <w:tabs>
                <w:tab w:val="num" w:pos="390"/>
                <w:tab w:val="left" w:pos="3240"/>
                <w:tab w:val="left" w:pos="5040"/>
                <w:tab w:val="left" w:pos="7200"/>
              </w:tabs>
              <w:overflowPunct w:val="0"/>
              <w:autoSpaceDE w:val="0"/>
              <w:autoSpaceDN w:val="0"/>
              <w:adjustRightInd w:val="0"/>
              <w:ind w:left="30"/>
              <w:textAlignment w:val="baseline"/>
              <w:rPr>
                <w:i/>
              </w:rPr>
            </w:pPr>
            <w:r w:rsidRPr="003D3F2D">
              <w:rPr>
                <w:i/>
              </w:rPr>
              <w:t>Ready to G</w:t>
            </w:r>
            <w:r w:rsidR="00CD4329">
              <w:rPr>
                <w:i/>
              </w:rPr>
              <w:t>o</w:t>
            </w:r>
            <w:r w:rsidRPr="003D3F2D">
              <w:rPr>
                <w:i/>
              </w:rPr>
              <w:t xml:space="preserve"> </w:t>
            </w:r>
          </w:p>
        </w:tc>
        <w:tc>
          <w:tcPr>
            <w:tcW w:w="2200" w:type="dxa"/>
            <w:tcBorders>
              <w:top w:val="single" w:sz="6" w:space="0" w:color="auto"/>
              <w:left w:val="single" w:sz="12" w:space="0" w:color="auto"/>
              <w:bottom w:val="single" w:sz="6" w:space="0" w:color="auto"/>
              <w:right w:val="single" w:sz="12" w:space="0" w:color="auto"/>
            </w:tcBorders>
            <w:vAlign w:val="bottom"/>
          </w:tcPr>
          <w:p w14:paraId="493F66CE" w14:textId="41903F14" w:rsidR="003D3F2D" w:rsidRPr="003D3F2D" w:rsidRDefault="003D3F2D" w:rsidP="6C388AA2">
            <w:pPr>
              <w:tabs>
                <w:tab w:val="right" w:pos="1232"/>
                <w:tab w:val="left" w:pos="3240"/>
                <w:tab w:val="left" w:pos="5040"/>
                <w:tab w:val="left" w:pos="7200"/>
              </w:tabs>
              <w:jc w:val="right"/>
              <w:rPr>
                <w:i/>
                <w:iCs/>
              </w:rPr>
            </w:pPr>
            <w:r w:rsidRPr="6C388AA2">
              <w:rPr>
                <w:i/>
                <w:iCs/>
              </w:rPr>
              <w:t>$</w:t>
            </w:r>
            <w:r w:rsidR="00EA886C" w:rsidRPr="6C388AA2">
              <w:rPr>
                <w:i/>
                <w:iCs/>
              </w:rPr>
              <w:t>5</w:t>
            </w:r>
            <w:r w:rsidR="00C45C50" w:rsidRPr="6C388AA2">
              <w:rPr>
                <w:i/>
                <w:iCs/>
              </w:rPr>
              <w:t>00,000</w:t>
            </w:r>
          </w:p>
        </w:tc>
      </w:tr>
      <w:tr w:rsidR="006146D6" w:rsidRPr="00B1707B" w14:paraId="4133B9B3"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65590AE5" w14:textId="77777777" w:rsidR="006146D6" w:rsidRPr="00B1707B" w:rsidRDefault="006146D6" w:rsidP="003C4AA5">
            <w:pPr>
              <w:tabs>
                <w:tab w:val="left" w:pos="3240"/>
                <w:tab w:val="left" w:pos="5040"/>
                <w:tab w:val="left" w:pos="7200"/>
              </w:tabs>
            </w:pPr>
            <w:r w:rsidRPr="00B1707B">
              <w:t>Business Development Program</w:t>
            </w:r>
          </w:p>
        </w:tc>
        <w:tc>
          <w:tcPr>
            <w:tcW w:w="2200" w:type="dxa"/>
            <w:tcBorders>
              <w:top w:val="single" w:sz="6" w:space="0" w:color="auto"/>
              <w:left w:val="single" w:sz="12" w:space="0" w:color="auto"/>
              <w:bottom w:val="single" w:sz="6" w:space="0" w:color="auto"/>
              <w:right w:val="single" w:sz="12" w:space="0" w:color="auto"/>
            </w:tcBorders>
            <w:vAlign w:val="bottom"/>
          </w:tcPr>
          <w:p w14:paraId="2403CF48" w14:textId="77F070CE" w:rsidR="006146D6" w:rsidRPr="005E05BD" w:rsidRDefault="006146D6" w:rsidP="6C388AA2">
            <w:pPr>
              <w:tabs>
                <w:tab w:val="right" w:pos="1232"/>
                <w:tab w:val="left" w:pos="3240"/>
                <w:tab w:val="left" w:pos="5040"/>
                <w:tab w:val="left" w:pos="7200"/>
              </w:tabs>
            </w:pPr>
            <w:r w:rsidRPr="005E05BD">
              <w:t xml:space="preserve">$ </w:t>
            </w:r>
            <w:r w:rsidR="65AB78A7" w:rsidRPr="005E05BD">
              <w:t>1</w:t>
            </w:r>
            <w:r w:rsidRPr="005E05BD">
              <w:t>,000,000</w:t>
            </w:r>
          </w:p>
        </w:tc>
      </w:tr>
      <w:tr w:rsidR="00104C81" w:rsidRPr="00B1707B" w14:paraId="3AC62773" w14:textId="77777777" w:rsidTr="6C388AA2">
        <w:trPr>
          <w:cantSplit/>
          <w:trHeight w:val="324"/>
          <w:jc w:val="center"/>
        </w:trPr>
        <w:tc>
          <w:tcPr>
            <w:tcW w:w="5980" w:type="dxa"/>
            <w:tcBorders>
              <w:top w:val="nil"/>
              <w:left w:val="single" w:sz="12" w:space="0" w:color="auto"/>
              <w:bottom w:val="single" w:sz="6" w:space="0" w:color="auto"/>
              <w:right w:val="nil"/>
            </w:tcBorders>
            <w:vAlign w:val="bottom"/>
          </w:tcPr>
          <w:p w14:paraId="7867D8DF" w14:textId="77777777" w:rsidR="00104C81" w:rsidRPr="00B1707B" w:rsidRDefault="00104C81" w:rsidP="00C466C4">
            <w:pPr>
              <w:tabs>
                <w:tab w:val="left" w:pos="3240"/>
                <w:tab w:val="left" w:pos="5040"/>
                <w:tab w:val="left" w:pos="7200"/>
              </w:tabs>
            </w:pPr>
            <w:r w:rsidRPr="00B1707B">
              <w:t>Regional Planning Program</w:t>
            </w:r>
          </w:p>
        </w:tc>
        <w:tc>
          <w:tcPr>
            <w:tcW w:w="2200" w:type="dxa"/>
            <w:tcBorders>
              <w:top w:val="nil"/>
              <w:left w:val="single" w:sz="12" w:space="0" w:color="auto"/>
              <w:bottom w:val="single" w:sz="6" w:space="0" w:color="auto"/>
              <w:right w:val="single" w:sz="12" w:space="0" w:color="auto"/>
            </w:tcBorders>
            <w:vAlign w:val="bottom"/>
          </w:tcPr>
          <w:p w14:paraId="42F7E2D7" w14:textId="77777777" w:rsidR="00104C81" w:rsidRPr="005E05BD" w:rsidRDefault="00104C81" w:rsidP="6C388AA2">
            <w:pPr>
              <w:tabs>
                <w:tab w:val="right" w:pos="1232"/>
                <w:tab w:val="left" w:pos="3240"/>
                <w:tab w:val="left" w:pos="5040"/>
                <w:tab w:val="left" w:pos="7200"/>
              </w:tabs>
            </w:pPr>
            <w:r w:rsidRPr="005E05BD">
              <w:t>$</w:t>
            </w:r>
            <w:r w:rsidR="00F855EC" w:rsidRPr="005E05BD">
              <w:t xml:space="preserve">   </w:t>
            </w:r>
            <w:r w:rsidR="00326A2E" w:rsidRPr="005E05BD">
              <w:t xml:space="preserve"> </w:t>
            </w:r>
            <w:r w:rsidRPr="005E05BD">
              <w:t>500,000</w:t>
            </w:r>
          </w:p>
        </w:tc>
      </w:tr>
      <w:tr w:rsidR="00104C81" w:rsidRPr="00B1707B" w14:paraId="18F45B2A" w14:textId="77777777" w:rsidTr="6C388AA2">
        <w:trPr>
          <w:cantSplit/>
          <w:trHeight w:val="324"/>
          <w:jc w:val="center"/>
        </w:trPr>
        <w:tc>
          <w:tcPr>
            <w:tcW w:w="5980" w:type="dxa"/>
            <w:tcBorders>
              <w:top w:val="single" w:sz="6" w:space="0" w:color="auto"/>
              <w:left w:val="single" w:sz="12" w:space="0" w:color="auto"/>
              <w:bottom w:val="single" w:sz="6" w:space="0" w:color="auto"/>
              <w:right w:val="nil"/>
            </w:tcBorders>
            <w:vAlign w:val="bottom"/>
          </w:tcPr>
          <w:p w14:paraId="5EE43C58" w14:textId="77777777" w:rsidR="00104C81" w:rsidRPr="00B1707B" w:rsidRDefault="00104C81" w:rsidP="00C466C4">
            <w:pPr>
              <w:tabs>
                <w:tab w:val="left" w:pos="3240"/>
                <w:tab w:val="left" w:pos="5040"/>
                <w:tab w:val="left" w:pos="7200"/>
              </w:tabs>
            </w:pPr>
            <w:r w:rsidRPr="00B1707B">
              <w:t>State Technical Assistance (1%)</w:t>
            </w:r>
          </w:p>
        </w:tc>
        <w:tc>
          <w:tcPr>
            <w:tcW w:w="2200" w:type="dxa"/>
            <w:tcBorders>
              <w:top w:val="single" w:sz="6" w:space="0" w:color="auto"/>
              <w:left w:val="single" w:sz="12" w:space="0" w:color="auto"/>
              <w:bottom w:val="single" w:sz="6" w:space="0" w:color="auto"/>
              <w:right w:val="single" w:sz="12" w:space="0" w:color="auto"/>
            </w:tcBorders>
            <w:vAlign w:val="bottom"/>
          </w:tcPr>
          <w:p w14:paraId="74EBE670" w14:textId="4A473425" w:rsidR="00104C81" w:rsidRPr="005E05BD" w:rsidRDefault="000031C4" w:rsidP="6C388AA2">
            <w:pPr>
              <w:tabs>
                <w:tab w:val="right" w:pos="1232"/>
                <w:tab w:val="left" w:pos="3240"/>
                <w:tab w:val="left" w:pos="5040"/>
                <w:tab w:val="left" w:pos="7200"/>
              </w:tabs>
            </w:pPr>
            <w:r w:rsidRPr="005E05BD">
              <w:t>$</w:t>
            </w:r>
            <w:r w:rsidR="00F855EC" w:rsidRPr="005E05BD">
              <w:t xml:space="preserve">  </w:t>
            </w:r>
            <w:r w:rsidR="00326A2E" w:rsidRPr="005E05BD">
              <w:t xml:space="preserve"> </w:t>
            </w:r>
            <w:r w:rsidR="00F855EC" w:rsidRPr="005E05BD">
              <w:t xml:space="preserve"> </w:t>
            </w:r>
            <w:r w:rsidR="0057394B">
              <w:t>19</w:t>
            </w:r>
            <w:r w:rsidR="006E4693">
              <w:t>8,</w:t>
            </w:r>
            <w:r w:rsidR="00390C52">
              <w:t>098</w:t>
            </w:r>
          </w:p>
        </w:tc>
      </w:tr>
      <w:tr w:rsidR="00104C81" w:rsidRPr="00B1707B" w14:paraId="40BEE9C3" w14:textId="77777777" w:rsidTr="6C388AA2">
        <w:trPr>
          <w:cantSplit/>
          <w:trHeight w:val="324"/>
          <w:jc w:val="center"/>
        </w:trPr>
        <w:tc>
          <w:tcPr>
            <w:tcW w:w="5980" w:type="dxa"/>
            <w:tcBorders>
              <w:top w:val="single" w:sz="6" w:space="0" w:color="auto"/>
              <w:left w:val="single" w:sz="12" w:space="0" w:color="auto"/>
              <w:bottom w:val="single" w:sz="4" w:space="0" w:color="auto"/>
              <w:right w:val="nil"/>
            </w:tcBorders>
            <w:vAlign w:val="bottom"/>
          </w:tcPr>
          <w:p w14:paraId="715A1320" w14:textId="77777777" w:rsidR="00104C81" w:rsidRPr="00B1707B" w:rsidRDefault="00104C81" w:rsidP="00C466C4">
            <w:pPr>
              <w:tabs>
                <w:tab w:val="left" w:pos="3240"/>
                <w:tab w:val="left" w:pos="5040"/>
                <w:tab w:val="left" w:pos="7200"/>
              </w:tabs>
            </w:pPr>
            <w:r w:rsidRPr="00B1707B">
              <w:t>State Administration (2% of allocation + $100,000)</w:t>
            </w:r>
          </w:p>
        </w:tc>
        <w:tc>
          <w:tcPr>
            <w:tcW w:w="2200" w:type="dxa"/>
            <w:tcBorders>
              <w:top w:val="single" w:sz="6" w:space="0" w:color="auto"/>
              <w:left w:val="single" w:sz="12" w:space="0" w:color="auto"/>
              <w:bottom w:val="single" w:sz="4" w:space="0" w:color="auto"/>
              <w:right w:val="single" w:sz="12" w:space="0" w:color="auto"/>
            </w:tcBorders>
            <w:vAlign w:val="bottom"/>
          </w:tcPr>
          <w:p w14:paraId="279CADA9" w14:textId="4FD9F712" w:rsidR="00104C81" w:rsidRPr="005E05BD" w:rsidRDefault="000031C4" w:rsidP="6C388AA2">
            <w:pPr>
              <w:tabs>
                <w:tab w:val="right" w:pos="1232"/>
                <w:tab w:val="left" w:pos="3240"/>
                <w:tab w:val="left" w:pos="5040"/>
                <w:tab w:val="left" w:pos="7200"/>
              </w:tabs>
            </w:pPr>
            <w:r w:rsidRPr="005E05BD">
              <w:t>$</w:t>
            </w:r>
            <w:r w:rsidR="00F855EC" w:rsidRPr="005E05BD">
              <w:t xml:space="preserve">   </w:t>
            </w:r>
            <w:r w:rsidR="00A26A62" w:rsidRPr="005E05BD">
              <w:t xml:space="preserve"> </w:t>
            </w:r>
            <w:r w:rsidR="0057394B">
              <w:t>49</w:t>
            </w:r>
            <w:r w:rsidR="00390C52">
              <w:t>6</w:t>
            </w:r>
            <w:r w:rsidR="006E4693">
              <w:t>,</w:t>
            </w:r>
            <w:r w:rsidR="00390C52">
              <w:t>196</w:t>
            </w:r>
          </w:p>
        </w:tc>
      </w:tr>
      <w:tr w:rsidR="00104C81" w:rsidRPr="00B1707B" w14:paraId="64F42DCB" w14:textId="77777777" w:rsidTr="6C388AA2">
        <w:trPr>
          <w:cantSplit/>
          <w:trHeight w:val="324"/>
          <w:jc w:val="center"/>
        </w:trPr>
        <w:tc>
          <w:tcPr>
            <w:tcW w:w="5980" w:type="dxa"/>
            <w:tcBorders>
              <w:top w:val="single" w:sz="12" w:space="0" w:color="auto"/>
              <w:left w:val="single" w:sz="12" w:space="0" w:color="auto"/>
              <w:bottom w:val="single" w:sz="12" w:space="0" w:color="auto"/>
              <w:right w:val="nil"/>
            </w:tcBorders>
            <w:vAlign w:val="bottom"/>
          </w:tcPr>
          <w:p w14:paraId="771AAE9C" w14:textId="4C486FA0" w:rsidR="00104C81" w:rsidRPr="00B1707B" w:rsidRDefault="000262ED" w:rsidP="00894106">
            <w:pPr>
              <w:tabs>
                <w:tab w:val="left" w:pos="3240"/>
                <w:tab w:val="left" w:pos="5040"/>
                <w:tab w:val="left" w:pos="7200"/>
              </w:tabs>
            </w:pPr>
            <w:r w:rsidRPr="00B1707B">
              <w:rPr>
                <w:b/>
              </w:rPr>
              <w:t xml:space="preserve">Total </w:t>
            </w:r>
            <w:r w:rsidR="00EB3A02">
              <w:rPr>
                <w:b/>
              </w:rPr>
              <w:t xml:space="preserve">2024 </w:t>
            </w:r>
            <w:r w:rsidR="00104C81" w:rsidRPr="00B1707B">
              <w:rPr>
                <w:b/>
              </w:rPr>
              <w:t>CDBG Allocation</w:t>
            </w:r>
          </w:p>
        </w:tc>
        <w:tc>
          <w:tcPr>
            <w:tcW w:w="2200" w:type="dxa"/>
            <w:tcBorders>
              <w:top w:val="single" w:sz="12" w:space="0" w:color="auto"/>
              <w:left w:val="single" w:sz="12" w:space="0" w:color="auto"/>
              <w:bottom w:val="single" w:sz="12" w:space="0" w:color="auto"/>
              <w:right w:val="single" w:sz="12" w:space="0" w:color="auto"/>
            </w:tcBorders>
            <w:vAlign w:val="bottom"/>
          </w:tcPr>
          <w:p w14:paraId="55A98F88" w14:textId="42C66A94" w:rsidR="00104C81" w:rsidRPr="005E05BD" w:rsidRDefault="005232BA" w:rsidP="001D3FA7">
            <w:pPr>
              <w:tabs>
                <w:tab w:val="right" w:pos="1232"/>
                <w:tab w:val="left" w:pos="3240"/>
                <w:tab w:val="left" w:pos="5040"/>
                <w:tab w:val="left" w:pos="7200"/>
              </w:tabs>
            </w:pPr>
            <w:r>
              <w:t>$19,</w:t>
            </w:r>
            <w:r w:rsidR="003A2F54">
              <w:t>809,810</w:t>
            </w:r>
          </w:p>
        </w:tc>
      </w:tr>
      <w:bookmarkEnd w:id="14"/>
    </w:tbl>
    <w:p w14:paraId="068DB957" w14:textId="77777777" w:rsidR="001D3FA7" w:rsidRDefault="001D3FA7" w:rsidP="00104C81">
      <w:pPr>
        <w:pStyle w:val="BodyText"/>
        <w:rPr>
          <w:i/>
        </w:rPr>
      </w:pPr>
    </w:p>
    <w:p w14:paraId="060BE400" w14:textId="1C3E61B4" w:rsidR="00EB3A02" w:rsidRDefault="00EB3A02" w:rsidP="00104C81">
      <w:pPr>
        <w:pStyle w:val="BodyText"/>
      </w:pPr>
      <w:r>
        <w:t xml:space="preserve">** </w:t>
      </w:r>
      <w:r w:rsidR="00BE2671">
        <w:t>Note there was a decrease in the 2024 allocation which has been applied to the Community Enrichment program.</w:t>
      </w:r>
    </w:p>
    <w:p w14:paraId="1136799E" w14:textId="77777777" w:rsidR="00EB3A02" w:rsidRDefault="00EB3A02" w:rsidP="00104C81">
      <w:pPr>
        <w:pStyle w:val="BodyText"/>
      </w:pPr>
    </w:p>
    <w:p w14:paraId="71E45CEA" w14:textId="2036EFA3" w:rsidR="00104C81" w:rsidRDefault="00D20BF7" w:rsidP="00104C81">
      <w:pPr>
        <w:pStyle w:val="BodyText"/>
      </w:pPr>
      <w:r>
        <w:t xml:space="preserve">At the end of the Spring funding round, or the Community Infrastructure program round, any remaining funds will become available as additional funding for the Fall funding round </w:t>
      </w:r>
      <w:r w:rsidR="00BE2671">
        <w:t>(</w:t>
      </w:r>
      <w:r>
        <w:t>Community Enrichment</w:t>
      </w:r>
      <w:r w:rsidR="00481C8F">
        <w:t xml:space="preserve"> </w:t>
      </w:r>
      <w:r>
        <w:t>and Local Priorities). Also, u</w:t>
      </w:r>
      <w:r w:rsidR="00104C81">
        <w:t>p to ten percent may be reallocated among any of the grant categories to address the State's program priorities and local needs</w:t>
      </w:r>
      <w:r w:rsidR="000262ED">
        <w:t xml:space="preserve"> as identified by the Secretary of the Department of Commerce</w:t>
      </w:r>
      <w:r w:rsidR="00104C81">
        <w:t xml:space="preserve">. In the event of a federal or state declared disaster or emergency, up to ten percent of the State’s </w:t>
      </w:r>
      <w:r w:rsidR="007235E9">
        <w:t xml:space="preserve">unobligated </w:t>
      </w:r>
      <w:r w:rsidR="00104C81">
        <w:t>allocation may be reallocated to address the needs of the dis</w:t>
      </w:r>
      <w:r w:rsidR="003E128A">
        <w:t xml:space="preserve">aster consistent with Title I. </w:t>
      </w:r>
      <w:r w:rsidR="00104C81">
        <w:t xml:space="preserve">Any </w:t>
      </w:r>
      <w:r w:rsidR="00734453">
        <w:t xml:space="preserve">Department of Commerce </w:t>
      </w:r>
      <w:r w:rsidR="00104C81">
        <w:t>requirements, thresholds, or limits may be waived at the discretion of the Sta</w:t>
      </w:r>
      <w:r w:rsidR="003E128A">
        <w:t xml:space="preserve">te in the event of a disaster. </w:t>
      </w:r>
      <w:r w:rsidR="00104C81">
        <w:t>Priority consideration will be given to projects that address the immediate needs of LMI person</w:t>
      </w:r>
      <w:r w:rsidR="003E128A">
        <w:t xml:space="preserve">s as a result of the disaster. </w:t>
      </w:r>
    </w:p>
    <w:p w14:paraId="60CD77E3" w14:textId="77777777" w:rsidR="00AF7658" w:rsidRDefault="00AF7658" w:rsidP="00104C81">
      <w:pPr>
        <w:pStyle w:val="BodyText"/>
      </w:pPr>
    </w:p>
    <w:p w14:paraId="457D3B79" w14:textId="77777777" w:rsidR="00104C81" w:rsidRDefault="00104C81" w:rsidP="0033794B">
      <w:pPr>
        <w:pStyle w:val="Heading3ProgramSection"/>
      </w:pPr>
      <w:r>
        <w:t>Administration and Technical Assistance</w:t>
      </w:r>
    </w:p>
    <w:p w14:paraId="705F5C08" w14:textId="77777777" w:rsidR="009A6B21" w:rsidRDefault="00104C81" w:rsidP="00104C81">
      <w:pPr>
        <w:pStyle w:val="BodyText"/>
      </w:pPr>
      <w:r>
        <w:t>The State may not use more than twenty percent of the total annual allocation for planning and general administrative costs carried out by units of l</w:t>
      </w:r>
      <w:r w:rsidR="003E128A">
        <w:t xml:space="preserve">ocal government and the State. </w:t>
      </w:r>
      <w:r>
        <w:t xml:space="preserve">Section 811 of the Housing and Community Development Act of 1992 includes a provision that allows the State to use one percent of its allocation to provide technical assistance to local governments and non-profit program recipients. The State intends to use such funds to provide technical assistance to units of local government, non-profits, and other interested parties on community and economic development issues. There will be an emphasis on the provision of technical assistance for local governments. </w:t>
      </w:r>
    </w:p>
    <w:p w14:paraId="155A9F43" w14:textId="77777777" w:rsidR="00265D69" w:rsidRDefault="00265D69" w:rsidP="00104C81">
      <w:pPr>
        <w:pStyle w:val="BodyText"/>
      </w:pPr>
    </w:p>
    <w:p w14:paraId="509C86A9" w14:textId="77777777" w:rsidR="001168BE" w:rsidRDefault="009A6B21" w:rsidP="00104C81">
      <w:pPr>
        <w:pStyle w:val="BodyText"/>
      </w:pPr>
      <w:r>
        <w:lastRenderedPageBreak/>
        <w:t>A</w:t>
      </w:r>
      <w:r w:rsidR="00104C81">
        <w:t>ssistance will include one-on-one advice and guidance, training workshops and manuals, and best practices exchanges</w:t>
      </w:r>
      <w:r>
        <w:t xml:space="preserve">. </w:t>
      </w:r>
      <w:r w:rsidR="00104C81">
        <w:t xml:space="preserve">On-site assistance will be provided </w:t>
      </w:r>
      <w:r w:rsidR="009E0A56">
        <w:t>for</w:t>
      </w:r>
      <w:r w:rsidR="00104C81">
        <w:t xml:space="preserve"> identification of community needs, planning, project development, project implementation and meeting federal and state pr</w:t>
      </w:r>
      <w:r w:rsidR="003E128A">
        <w:t xml:space="preserve">ogram compliance requirements. </w:t>
      </w:r>
      <w:r w:rsidR="00104C81">
        <w:t>Funds will also be used to conduct workshops to assist interested parties in applying for and implementing CDBG funded projects.</w:t>
      </w:r>
      <w:r w:rsidR="000262ED">
        <w:t xml:space="preserve"> </w:t>
      </w:r>
    </w:p>
    <w:p w14:paraId="1FE6D983" w14:textId="77777777" w:rsidR="00C36B74" w:rsidRDefault="00C36B74" w:rsidP="00104C81">
      <w:pPr>
        <w:pStyle w:val="BodyText"/>
      </w:pPr>
    </w:p>
    <w:bookmarkStart w:id="15" w:name="_Toc153828338"/>
    <w:p w14:paraId="76334171" w14:textId="0942862D" w:rsidR="00277D7B" w:rsidRDefault="00117155" w:rsidP="00F33758">
      <w:pPr>
        <w:pStyle w:val="Heading1"/>
      </w:pPr>
      <w:r>
        <w:rPr>
          <w:noProof/>
        </w:rPr>
        <mc:AlternateContent>
          <mc:Choice Requires="wps">
            <w:drawing>
              <wp:anchor distT="0" distB="0" distL="114300" distR="114300" simplePos="0" relativeHeight="251658251" behindDoc="1" locked="0" layoutInCell="1" allowOverlap="1" wp14:anchorId="64E4D610" wp14:editId="1407C5F8">
                <wp:simplePos x="0" y="0"/>
                <wp:positionH relativeFrom="column">
                  <wp:posOffset>0</wp:posOffset>
                </wp:positionH>
                <wp:positionV relativeFrom="paragraph">
                  <wp:posOffset>59055</wp:posOffset>
                </wp:positionV>
                <wp:extent cx="6126480" cy="548640"/>
                <wp:effectExtent l="0" t="1905" r="0"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4864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954FC" id="Rectangle 7" o:spid="_x0000_s1026" style="position:absolute;margin-left:0;margin-top:4.65pt;width:482.4pt;height:43.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" fillcolor="#969696" stroked="f"/>
            </w:pict>
          </mc:Fallback>
        </mc:AlternateContent>
      </w:r>
      <w:r w:rsidR="00277D7B">
        <w:t>Distributio</w:t>
      </w:r>
      <w:r w:rsidR="00277D7B" w:rsidRPr="00647AF0">
        <w:t>n</w:t>
      </w:r>
      <w:r w:rsidR="00277D7B">
        <w:t xml:space="preserve"> of Additional Allocations, Reallocated,</w:t>
      </w:r>
      <w:r w:rsidR="00277D7B">
        <w:br/>
        <w:t>Recaptured and Remaining Funds</w:t>
      </w:r>
      <w:bookmarkEnd w:id="15"/>
    </w:p>
    <w:p w14:paraId="27627780" w14:textId="77777777" w:rsidR="00277D7B" w:rsidRDefault="00277D7B" w:rsidP="00277D7B">
      <w:pPr>
        <w:pStyle w:val="BodyText"/>
      </w:pPr>
      <w:r>
        <w:t>Additional allocations are any funds HUD adds to the State's original grant award for any given year. Reallocated funds are those funds that HUD has recaptured from a grantee</w:t>
      </w:r>
      <w:r w:rsidR="003E128A">
        <w:t xml:space="preserve"> and reallocated to the State. </w:t>
      </w:r>
      <w:r>
        <w:t xml:space="preserve">Recaptured funds are </w:t>
      </w:r>
      <w:proofErr w:type="gramStart"/>
      <w:r>
        <w:t>funds</w:t>
      </w:r>
      <w:proofErr w:type="gramEnd"/>
      <w:r>
        <w:t xml:space="preserve"> the State receives back from a grantee as a result of disallowed costs, deobligation or termination of CDBG funding.</w:t>
      </w:r>
    </w:p>
    <w:p w14:paraId="078F2F43" w14:textId="77777777" w:rsidR="00277D7B" w:rsidRDefault="00277D7B" w:rsidP="00277D7B">
      <w:pPr>
        <w:pStyle w:val="BodyText"/>
      </w:pPr>
    </w:p>
    <w:p w14:paraId="1B14D4F0" w14:textId="77777777" w:rsidR="00277D7B" w:rsidRDefault="00277D7B" w:rsidP="00277D7B">
      <w:pPr>
        <w:pStyle w:val="BodyText"/>
      </w:pPr>
      <w:r>
        <w:t>Remaining funds consist of any funds that have not been awarded at the completion of a program category funding cycle, or one year after such funds were granted to the State, or at the time the State is awarded its n</w:t>
      </w:r>
      <w:r w:rsidR="003E128A">
        <w:t xml:space="preserve">ext regular allocation by HUD. </w:t>
      </w:r>
      <w:r>
        <w:t>This may occur due to an insufficient number of acceptable applications being received by the State in a particular funding category or as a result of insufficient funds remaining in a funding category to fully fund an</w:t>
      </w:r>
      <w:r w:rsidR="003E128A">
        <w:t>other acceptable application.</w:t>
      </w:r>
      <w:r w:rsidR="009068C6">
        <w:t xml:space="preserve"> </w:t>
      </w:r>
    </w:p>
    <w:p w14:paraId="0939CC7D" w14:textId="77777777" w:rsidR="00277D7B" w:rsidRDefault="00277D7B" w:rsidP="00277D7B">
      <w:pPr>
        <w:pStyle w:val="BodyText"/>
      </w:pPr>
    </w:p>
    <w:p w14:paraId="09668DF6" w14:textId="5C5B2E6C" w:rsidR="00277D7B" w:rsidRDefault="00277D7B" w:rsidP="00277D7B">
      <w:pPr>
        <w:pStyle w:val="BodyText"/>
      </w:pPr>
      <w:r>
        <w:t>At the discretion of</w:t>
      </w:r>
      <w:r w:rsidR="35AF4D54">
        <w:t xml:space="preserve"> the State CDBG Program</w:t>
      </w:r>
      <w:r>
        <w:t xml:space="preserve"> , any additional allocations, reallocated, recaptured or remaining funds described in this or any prior year's Program Description may be awarded in any grant category described in this Program Descripti</w:t>
      </w:r>
      <w:r w:rsidR="00840ABB">
        <w:t>on or the applicable prior year’s</w:t>
      </w:r>
      <w:r>
        <w:t xml:space="preserve"> Program Description. </w:t>
      </w:r>
      <w:proofErr w:type="gramStart"/>
      <w:r w:rsidR="006855C9">
        <w:t>Generally</w:t>
      </w:r>
      <w:proofErr w:type="gramEnd"/>
      <w:r w:rsidR="006855C9">
        <w:t xml:space="preserve"> such funds will be awarded in the program</w:t>
      </w:r>
      <w:r w:rsidR="007E71A1">
        <w:t xml:space="preserve"> categories where applications for eligible and fundable projects</w:t>
      </w:r>
      <w:r w:rsidR="006855C9">
        <w:t xml:space="preserve"> exceed available funds</w:t>
      </w:r>
      <w:r w:rsidR="007E71A1">
        <w:t xml:space="preserve">. </w:t>
      </w:r>
      <w:r w:rsidR="00D33C2B">
        <w:t xml:space="preserve">Funds may also be awarded for eligible projects submitted </w:t>
      </w:r>
      <w:r w:rsidR="00D71269">
        <w:t xml:space="preserve">though not funded </w:t>
      </w:r>
      <w:r w:rsidR="00D33C2B">
        <w:t xml:space="preserve">through </w:t>
      </w:r>
      <w:r w:rsidR="00013FAB">
        <w:t>other Commerce or related programs</w:t>
      </w:r>
      <w:r w:rsidR="00D33C2B">
        <w:t xml:space="preserve">.  Eligible applicants with potentially CDBG eligible projects may be invited to apply for CDBG funds.  All CDBG requirements apply, and applications will be scored with scoring criteria listed in this description. There is no guarantee of funding if invited to apply.  </w:t>
      </w:r>
      <w:r>
        <w:t xml:space="preserve">Under unusual circumstances,  </w:t>
      </w:r>
      <w:r w:rsidR="264136F8">
        <w:t xml:space="preserve">the State CDBG Program </w:t>
      </w:r>
      <w:r>
        <w:t>may consider a waiver of any CDBG program requirement set by the State</w:t>
      </w:r>
      <w:r w:rsidR="00C43DC0">
        <w:t xml:space="preserve"> and may use any available funds</w:t>
      </w:r>
      <w:r>
        <w:t xml:space="preserve"> for projects that are determined to meet urgent or compelling needs or for pilot projects where the Secretary of the Department of Commerce determines it necessary to implement the objectives of the Department of Commerce, within HUD requirements.</w:t>
      </w:r>
    </w:p>
    <w:p w14:paraId="3E60D2D6" w14:textId="77777777" w:rsidR="00F33758" w:rsidRDefault="00F33758" w:rsidP="00277D7B">
      <w:pPr>
        <w:pStyle w:val="BodyText"/>
      </w:pPr>
    </w:p>
    <w:p w14:paraId="238525A0" w14:textId="77777777" w:rsidR="00277D7B" w:rsidRDefault="00277D7B" w:rsidP="00277D7B">
      <w:pPr>
        <w:pStyle w:val="BodyText"/>
      </w:pPr>
    </w:p>
    <w:bookmarkStart w:id="16" w:name="_Toc153828339"/>
    <w:p w14:paraId="46012259" w14:textId="04F1746C" w:rsidR="00277D7B" w:rsidRDefault="00117155" w:rsidP="00F33758">
      <w:pPr>
        <w:pStyle w:val="Heading1"/>
      </w:pPr>
      <w:r>
        <w:rPr>
          <w:noProof/>
        </w:rPr>
        <mc:AlternateContent>
          <mc:Choice Requires="wps">
            <w:drawing>
              <wp:anchor distT="0" distB="0" distL="114300" distR="114300" simplePos="0" relativeHeight="251658252" behindDoc="1" locked="0" layoutInCell="1" allowOverlap="1" wp14:anchorId="39F50D89" wp14:editId="44261B48">
                <wp:simplePos x="0" y="0"/>
                <wp:positionH relativeFrom="column">
                  <wp:posOffset>0</wp:posOffset>
                </wp:positionH>
                <wp:positionV relativeFrom="paragraph">
                  <wp:posOffset>59055</wp:posOffset>
                </wp:positionV>
                <wp:extent cx="6126480" cy="365760"/>
                <wp:effectExtent l="0" t="1905"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2C2D" id="Rectangle 6" o:spid="_x0000_s1026" style="position:absolute;margin-left:0;margin-top:4.65pt;width:482.4pt;height:28.8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277D7B">
        <w:t>Program Income</w:t>
      </w:r>
      <w:bookmarkEnd w:id="16"/>
    </w:p>
    <w:p w14:paraId="348F8527" w14:textId="35A4AC56" w:rsidR="00277D7B" w:rsidRDefault="00277D7B" w:rsidP="00277D7B">
      <w:pPr>
        <w:pStyle w:val="BodyText"/>
      </w:pPr>
      <w:r>
        <w:t>The State will require that units of local government, unless the conditions of the grant award state otherwise, return to the State all program income from activitie</w:t>
      </w:r>
      <w:r w:rsidR="00276751">
        <w:t xml:space="preserve">s carried out with CDBG funds. </w:t>
      </w:r>
      <w:r>
        <w:t xml:space="preserve">All program income returned to the State will be administered in accordance with the provisions of this Program Description and applicable federal and state regulations and statutes.  </w:t>
      </w:r>
    </w:p>
    <w:p w14:paraId="00F58ADB" w14:textId="2A17BBB1" w:rsidR="6C388AA2" w:rsidRDefault="6C388AA2" w:rsidP="6C388AA2">
      <w:pPr>
        <w:pStyle w:val="BodyText"/>
      </w:pPr>
    </w:p>
    <w:p w14:paraId="00F3F453" w14:textId="77777777" w:rsidR="009068C6" w:rsidRDefault="00277D7B" w:rsidP="00277D7B">
      <w:pPr>
        <w:pStyle w:val="BodyText"/>
      </w:pPr>
      <w:r w:rsidRPr="00F428CE">
        <w:t xml:space="preserve">Any program income received by the State will be treated as recaptured funds and distributed in accordance with </w:t>
      </w:r>
      <w:r>
        <w:t xml:space="preserve">the provisions in this </w:t>
      </w:r>
      <w:r w:rsidR="00276751">
        <w:t xml:space="preserve">Program Description. </w:t>
      </w:r>
      <w:r w:rsidR="00D65A4E">
        <w:t xml:space="preserve">The State </w:t>
      </w:r>
      <w:r w:rsidR="005232BA">
        <w:t xml:space="preserve">does not </w:t>
      </w:r>
      <w:r w:rsidR="00D65A4E">
        <w:t>a</w:t>
      </w:r>
      <w:r w:rsidRPr="00F428CE">
        <w:t>nticipate receiving</w:t>
      </w:r>
      <w:r w:rsidR="00D65A4E" w:rsidRPr="00D65A4E">
        <w:t xml:space="preserve"> </w:t>
      </w:r>
      <w:r w:rsidR="005232BA">
        <w:t xml:space="preserve">any </w:t>
      </w:r>
      <w:r w:rsidRPr="005E05BD">
        <w:t>program</w:t>
      </w:r>
      <w:r w:rsidRPr="00F428CE">
        <w:t xml:space="preserve"> income</w:t>
      </w:r>
      <w:r w:rsidR="004C2034">
        <w:t xml:space="preserve"> </w:t>
      </w:r>
      <w:r w:rsidR="004C2034" w:rsidRPr="00F428CE">
        <w:t>this year</w:t>
      </w:r>
      <w:r w:rsidRPr="00F428CE">
        <w:t>.</w:t>
      </w:r>
    </w:p>
    <w:p w14:paraId="29F0CEBF" w14:textId="77777777" w:rsidR="00E7692C" w:rsidRDefault="00E7692C" w:rsidP="00277D7B">
      <w:pPr>
        <w:pStyle w:val="BodyText"/>
      </w:pPr>
    </w:p>
    <w:p w14:paraId="163850E1" w14:textId="597C4D70" w:rsidR="00277D7B" w:rsidRDefault="00277D7B" w:rsidP="00277D7B">
      <w:pPr>
        <w:pStyle w:val="BodyText"/>
      </w:pPr>
      <w:r>
        <w:lastRenderedPageBreak/>
        <w:t>Under the provisions of Title I, the State is obligated to waive the requirement for the return of program income to the State when the unit of local government will use that income to carry out the same activity that provided the income, provided that other HUD and State administra</w:t>
      </w:r>
      <w:r w:rsidR="00276751">
        <w:t xml:space="preserve">tive requirements will be met. </w:t>
      </w:r>
      <w:r>
        <w:t>Examples of the same activity would be: using program income resulting from the repayment of a loan made to a business to make another loan</w:t>
      </w:r>
      <w:r w:rsidR="00705469">
        <w:t xml:space="preserve"> and</w:t>
      </w:r>
      <w:r>
        <w:t xml:space="preserve"> using program income resulting from housing rehabilitation activity to establish a revolving loan fund to carry out additional housing rehabilitation.</w:t>
      </w:r>
    </w:p>
    <w:p w14:paraId="09837E67" w14:textId="77777777" w:rsidR="00277D7B" w:rsidRDefault="00277D7B" w:rsidP="00277D7B">
      <w:pPr>
        <w:pStyle w:val="BodyText"/>
      </w:pPr>
    </w:p>
    <w:p w14:paraId="1494E929" w14:textId="77777777" w:rsidR="00277D7B" w:rsidRDefault="00277D7B" w:rsidP="00277D7B">
      <w:pPr>
        <w:pStyle w:val="BodyText"/>
      </w:pPr>
      <w:r>
        <w:t xml:space="preserve">Each CDBG application must contain a </w:t>
      </w:r>
      <w:r w:rsidR="00546468">
        <w:t>program income plan</w:t>
      </w:r>
      <w:r>
        <w:t>, whether i</w:t>
      </w:r>
      <w:r w:rsidR="00276751">
        <w:t xml:space="preserve">ncome will be received or not. </w:t>
      </w:r>
      <w:r>
        <w:t xml:space="preserve">The State will require that all program income derived from CDBG funds be returned to the State unless the recipient requests retention of program income to </w:t>
      </w:r>
      <w:r w:rsidR="00276751">
        <w:t xml:space="preserve">be used for the same activity. </w:t>
      </w:r>
      <w:r>
        <w:t xml:space="preserve">Program </w:t>
      </w:r>
      <w:r w:rsidR="00546468">
        <w:t>income plans</w:t>
      </w:r>
      <w:r>
        <w:t xml:space="preserve"> must be approved by the local governing body and signed by the chief executive off</w:t>
      </w:r>
      <w:r w:rsidR="00276751">
        <w:t xml:space="preserve">icial of the local government. </w:t>
      </w:r>
      <w:r>
        <w:t>Program income plans are to be submitted at the time of grant application and will be consi</w:t>
      </w:r>
      <w:r w:rsidR="00276751">
        <w:t xml:space="preserve">dered on a case-by-case basis. </w:t>
      </w:r>
      <w:r>
        <w:t xml:space="preserve">If the plan submitted with the application is acceptable, the approval of the grant is indication that the program </w:t>
      </w:r>
      <w:r w:rsidR="00276751">
        <w:t xml:space="preserve">income plan has been approved. </w:t>
      </w:r>
      <w:r>
        <w:t xml:space="preserve">However, if the plan is incomplete, unacceptable or not included, the </w:t>
      </w:r>
      <w:r w:rsidR="00546468">
        <w:t>g</w:t>
      </w:r>
      <w:r>
        <w:t xml:space="preserve">rant </w:t>
      </w:r>
      <w:r w:rsidR="00546468">
        <w:t>a</w:t>
      </w:r>
      <w:r>
        <w:t>ward will be conditioned to require submission of an acceptable program income plan.</w:t>
      </w:r>
    </w:p>
    <w:p w14:paraId="2FC17A69" w14:textId="77777777" w:rsidR="00277D7B" w:rsidRDefault="00277D7B" w:rsidP="00277D7B">
      <w:pPr>
        <w:pStyle w:val="BodyText"/>
      </w:pPr>
    </w:p>
    <w:p w14:paraId="2C81EC4B" w14:textId="10B3ABA4" w:rsidR="00277D7B" w:rsidRDefault="00277D7B" w:rsidP="00277D7B">
      <w:pPr>
        <w:pStyle w:val="BodyText"/>
      </w:pPr>
      <w:r>
        <w:t>Program income, whether returned to the State or retained at the local level</w:t>
      </w:r>
      <w:r w:rsidR="00546468">
        <w:t>,</w:t>
      </w:r>
      <w:r>
        <w:t xml:space="preserve"> may be included in the total amount of funds from which the State may take up to two percent for State CDBG </w:t>
      </w:r>
      <w:r w:rsidR="001B78FD">
        <w:t xml:space="preserve">Program </w:t>
      </w:r>
      <w:r>
        <w:t>administrative costs.</w:t>
      </w:r>
    </w:p>
    <w:p w14:paraId="0F52C8C9" w14:textId="77777777" w:rsidR="00277D7B" w:rsidRDefault="00277D7B" w:rsidP="00277D7B">
      <w:pPr>
        <w:pStyle w:val="BodyText"/>
      </w:pPr>
    </w:p>
    <w:p w14:paraId="75ED8672" w14:textId="77777777" w:rsidR="00F33758" w:rsidRDefault="00F33758" w:rsidP="00277D7B">
      <w:pPr>
        <w:pStyle w:val="BodyText"/>
      </w:pPr>
    </w:p>
    <w:bookmarkStart w:id="17" w:name="_Toc153828340"/>
    <w:p w14:paraId="344BA72F" w14:textId="322D5E1A" w:rsidR="00277D7B" w:rsidRPr="00546468" w:rsidRDefault="00117155" w:rsidP="00F33758">
      <w:pPr>
        <w:pStyle w:val="Heading1"/>
      </w:pPr>
      <w:r w:rsidRPr="00546468">
        <w:rPr>
          <w:noProof/>
        </w:rPr>
        <mc:AlternateContent>
          <mc:Choice Requires="wps">
            <w:drawing>
              <wp:anchor distT="0" distB="0" distL="114300" distR="114300" simplePos="0" relativeHeight="251658253" behindDoc="1" locked="0" layoutInCell="1" allowOverlap="1" wp14:anchorId="091525ED" wp14:editId="2AEBC690">
                <wp:simplePos x="0" y="0"/>
                <wp:positionH relativeFrom="column">
                  <wp:posOffset>0</wp:posOffset>
                </wp:positionH>
                <wp:positionV relativeFrom="paragraph">
                  <wp:posOffset>59055</wp:posOffset>
                </wp:positionV>
                <wp:extent cx="6126480" cy="345440"/>
                <wp:effectExtent l="0" t="1905"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4544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180F" id="Rectangle 5" o:spid="_x0000_s1026" style="position:absolute;margin-left:0;margin-top:4.65pt;width:482.4pt;height:27.2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" fillcolor="#969696" stroked="f"/>
            </w:pict>
          </mc:Fallback>
        </mc:AlternateContent>
      </w:r>
      <w:r w:rsidR="00277D7B" w:rsidRPr="00546468">
        <w:t>Grant Program Categories</w:t>
      </w:r>
      <w:bookmarkEnd w:id="17"/>
    </w:p>
    <w:p w14:paraId="55597730" w14:textId="41031667" w:rsidR="00277D7B" w:rsidRDefault="00546468" w:rsidP="00277D7B">
      <w:pPr>
        <w:tabs>
          <w:tab w:val="left" w:pos="3240"/>
          <w:tab w:val="left" w:pos="3600"/>
          <w:tab w:val="left" w:pos="4320"/>
          <w:tab w:val="left" w:pos="5040"/>
          <w:tab w:val="left" w:pos="5760"/>
          <w:tab w:val="left" w:pos="6480"/>
          <w:tab w:val="left" w:pos="7200"/>
          <w:tab w:val="left" w:pos="7920"/>
          <w:tab w:val="left" w:pos="8640"/>
        </w:tabs>
        <w:jc w:val="both"/>
      </w:pPr>
      <w:r>
        <w:t>Below</w:t>
      </w:r>
      <w:r w:rsidR="00277D7B">
        <w:t xml:space="preserve"> is a description of the types of grants available to address the objectives of the State CDBG </w:t>
      </w:r>
      <w:r w:rsidR="001B78FD">
        <w:t xml:space="preserve">Program </w:t>
      </w:r>
      <w:r w:rsidR="00277D7B">
        <w:t>and the methods of distributi</w:t>
      </w:r>
      <w:r w:rsidR="00276751">
        <w:t xml:space="preserve">ng funds for these categories. </w:t>
      </w:r>
      <w:r w:rsidR="00277D7B">
        <w:t>Each category includes a description of the objectives, requirements, grant amounts, funding limits, matching requirements and the selection process.</w:t>
      </w:r>
      <w:r>
        <w:t xml:space="preserve"> </w:t>
      </w:r>
      <w:r w:rsidR="00277D7B">
        <w:t>The</w:t>
      </w:r>
      <w:r>
        <w:t>re are three</w:t>
      </w:r>
      <w:r w:rsidR="00277D7B">
        <w:t xml:space="preserve"> </w:t>
      </w:r>
      <w:r w:rsidR="00B21867">
        <w:t xml:space="preserve">broad </w:t>
      </w:r>
      <w:r w:rsidR="00277D7B">
        <w:t>grant program categories: Community Development, Business Development, and Regional Planning.</w:t>
      </w:r>
      <w:r w:rsidR="00B21867">
        <w:t xml:space="preserve"> The Community Development Program is further broken down into several </w:t>
      </w:r>
      <w:r w:rsidR="00A25212">
        <w:t>sub</w:t>
      </w:r>
      <w:r w:rsidR="00B21867">
        <w:t xml:space="preserve">categories to address </w:t>
      </w:r>
      <w:r w:rsidR="00E733B6">
        <w:t>infrastructure,</w:t>
      </w:r>
      <w:r w:rsidR="00B21867">
        <w:t xml:space="preserve"> community facilities, and </w:t>
      </w:r>
      <w:r w:rsidR="001B78FD">
        <w:t xml:space="preserve">local </w:t>
      </w:r>
      <w:r w:rsidR="00B21867">
        <w:t>priorities.</w:t>
      </w:r>
    </w:p>
    <w:p w14:paraId="643E405B" w14:textId="77777777" w:rsidR="00277D7B" w:rsidRDefault="00277D7B" w:rsidP="00277D7B">
      <w:pPr>
        <w:tabs>
          <w:tab w:val="left" w:pos="3240"/>
          <w:tab w:val="left" w:pos="3600"/>
          <w:tab w:val="left" w:pos="4320"/>
          <w:tab w:val="left" w:pos="5040"/>
          <w:tab w:val="left" w:pos="5760"/>
          <w:tab w:val="left" w:pos="6480"/>
          <w:tab w:val="left" w:pos="7200"/>
          <w:tab w:val="left" w:pos="7920"/>
          <w:tab w:val="left" w:pos="8640"/>
        </w:tabs>
        <w:jc w:val="both"/>
        <w:rPr>
          <w:caps/>
        </w:rPr>
      </w:pPr>
    </w:p>
    <w:p w14:paraId="4337CDAF" w14:textId="40F04D8D" w:rsidR="00277D7B" w:rsidRDefault="78151E96" w:rsidP="00141E65">
      <w:pPr>
        <w:pStyle w:val="BodyText2"/>
        <w:widowControl/>
        <w:ind w:hanging="14"/>
        <w:rPr>
          <w:rFonts w:ascii="Times New Roman" w:hAnsi="Times New Roman"/>
        </w:rPr>
      </w:pPr>
      <w:r w:rsidRPr="1B5910EC">
        <w:rPr>
          <w:rFonts w:ascii="Times New Roman" w:hAnsi="Times New Roman"/>
        </w:rPr>
        <w:t>The State CDBG Program</w:t>
      </w:r>
      <w:r w:rsidR="00277D7B" w:rsidRPr="1B5910EC">
        <w:rPr>
          <w:rFonts w:ascii="Times New Roman" w:hAnsi="Times New Roman"/>
        </w:rPr>
        <w:t xml:space="preserve"> will perform due diligence in reviewing each application for feasibility, fundability, and complia</w:t>
      </w:r>
      <w:r w:rsidR="00276751" w:rsidRPr="1B5910EC">
        <w:rPr>
          <w:rFonts w:ascii="Times New Roman" w:hAnsi="Times New Roman"/>
        </w:rPr>
        <w:t xml:space="preserve">nce with program requirements. </w:t>
      </w:r>
      <w:r w:rsidR="00277D7B" w:rsidRPr="1B5910EC">
        <w:rPr>
          <w:rFonts w:ascii="Times New Roman" w:hAnsi="Times New Roman"/>
        </w:rPr>
        <w:t>Site visits will be conducted as necessary to verify information</w:t>
      </w:r>
      <w:r w:rsidR="00276751" w:rsidRPr="1B5910EC">
        <w:rPr>
          <w:rFonts w:ascii="Times New Roman" w:hAnsi="Times New Roman"/>
        </w:rPr>
        <w:t xml:space="preserve"> contained in the application. </w:t>
      </w:r>
      <w:r w:rsidR="00277D7B" w:rsidRPr="1B5910EC">
        <w:rPr>
          <w:rFonts w:ascii="Times New Roman" w:hAnsi="Times New Roman"/>
        </w:rPr>
        <w:t xml:space="preserve">Applicants should have the </w:t>
      </w:r>
      <w:r w:rsidR="00546468" w:rsidRPr="1B5910EC">
        <w:rPr>
          <w:rFonts w:ascii="Times New Roman" w:hAnsi="Times New Roman"/>
        </w:rPr>
        <w:t>individuals</w:t>
      </w:r>
      <w:r w:rsidR="00277D7B" w:rsidRPr="1B5910EC">
        <w:rPr>
          <w:rFonts w:ascii="Times New Roman" w:hAnsi="Times New Roman"/>
        </w:rPr>
        <w:t xml:space="preserve"> responsible for writing the application, </w:t>
      </w:r>
      <w:r w:rsidR="00546468" w:rsidRPr="1B5910EC">
        <w:rPr>
          <w:rFonts w:ascii="Times New Roman" w:hAnsi="Times New Roman"/>
        </w:rPr>
        <w:t xml:space="preserve">as well as those individuals </w:t>
      </w:r>
      <w:r w:rsidR="00277D7B" w:rsidRPr="1B5910EC">
        <w:rPr>
          <w:rFonts w:ascii="Times New Roman" w:hAnsi="Times New Roman"/>
        </w:rPr>
        <w:t>who are most familiar with the project area available during t</w:t>
      </w:r>
      <w:r w:rsidR="00276751" w:rsidRPr="1B5910EC">
        <w:rPr>
          <w:rFonts w:ascii="Times New Roman" w:hAnsi="Times New Roman"/>
        </w:rPr>
        <w:t>he site visit</w:t>
      </w:r>
      <w:r w:rsidR="00FB39A1" w:rsidRPr="1B5910EC">
        <w:rPr>
          <w:rFonts w:ascii="Times New Roman" w:hAnsi="Times New Roman"/>
        </w:rPr>
        <w:t>, if requested</w:t>
      </w:r>
      <w:r w:rsidR="00276751" w:rsidRPr="1B5910EC">
        <w:rPr>
          <w:rFonts w:ascii="Times New Roman" w:hAnsi="Times New Roman"/>
        </w:rPr>
        <w:t xml:space="preserve">. </w:t>
      </w:r>
      <w:r w:rsidR="00277D7B" w:rsidRPr="1B5910EC">
        <w:rPr>
          <w:rFonts w:ascii="Times New Roman" w:hAnsi="Times New Roman"/>
        </w:rPr>
        <w:t>The applicant should ensure that the application is internally consistent and that all numbers are correct prior to submission.</w:t>
      </w:r>
    </w:p>
    <w:p w14:paraId="4EDA7842" w14:textId="77777777" w:rsidR="00521DBA" w:rsidRDefault="00521DBA" w:rsidP="00141E65">
      <w:pPr>
        <w:pStyle w:val="BodyText2"/>
        <w:widowControl/>
        <w:ind w:hanging="14"/>
        <w:rPr>
          <w:rFonts w:ascii="Times New Roman" w:hAnsi="Times New Roman"/>
        </w:rPr>
      </w:pPr>
    </w:p>
    <w:p w14:paraId="2E4452F8" w14:textId="5DDBEE84" w:rsidR="00CB12A8" w:rsidRDefault="71AE8832" w:rsidP="00C244F3">
      <w:pPr>
        <w:ind w:hanging="18"/>
        <w:jc w:val="both"/>
      </w:pPr>
      <w:r>
        <w:t xml:space="preserve">The State CDBG Program </w:t>
      </w:r>
      <w:r w:rsidR="00277D7B">
        <w:t>reserves the right to prescribe revisions in project proposals if activities prove to be CDBG ineligible</w:t>
      </w:r>
      <w:r w:rsidR="00546468">
        <w:t>,</w:t>
      </w:r>
      <w:r w:rsidR="00277D7B">
        <w:t xml:space="preserve"> do not address program initiatives, </w:t>
      </w:r>
      <w:r w:rsidR="00546468">
        <w:t xml:space="preserve">or </w:t>
      </w:r>
      <w:r w:rsidR="00277D7B">
        <w:t xml:space="preserve">are not necessary </w:t>
      </w:r>
      <w:r w:rsidR="00546468">
        <w:t xml:space="preserve">project </w:t>
      </w:r>
      <w:r w:rsidR="00277D7B">
        <w:t>components; if proposed project costs are determined to be unacceptable</w:t>
      </w:r>
      <w:r w:rsidR="00546468">
        <w:t>,</w:t>
      </w:r>
      <w:r w:rsidR="00277D7B">
        <w:t xml:space="preserve"> e.g., costs exceed CDBG requirements</w:t>
      </w:r>
      <w:r w:rsidR="00C90003">
        <w:t xml:space="preserve"> or recommendations</w:t>
      </w:r>
      <w:r w:rsidR="00277D7B">
        <w:t>; or if there is not enough funding available to fully fund the request.</w:t>
      </w:r>
      <w:r w:rsidR="00EA7C45">
        <w:t xml:space="preserve"> Additionally, projects </w:t>
      </w:r>
      <w:r w:rsidR="00A00CDD">
        <w:t>should not be submitted for consideration</w:t>
      </w:r>
      <w:r w:rsidR="00EA7C45">
        <w:t xml:space="preserve"> if there is local controversy regarding the activities or proposed outcomes.</w:t>
      </w:r>
      <w:r w:rsidR="00162171">
        <w:t xml:space="preserve"> Such projects may be returned to the applicant for local resolution.</w:t>
      </w:r>
    </w:p>
    <w:p w14:paraId="0E2FC984" w14:textId="77777777" w:rsidR="00EB3A02" w:rsidRDefault="00EB3A02" w:rsidP="00C244F3">
      <w:pPr>
        <w:ind w:hanging="18"/>
        <w:jc w:val="both"/>
      </w:pPr>
    </w:p>
    <w:p w14:paraId="5A528320" w14:textId="57304078" w:rsidR="00EB3A02" w:rsidRDefault="00EB3A02" w:rsidP="00C244F3">
      <w:pPr>
        <w:ind w:hanging="18"/>
        <w:jc w:val="both"/>
      </w:pPr>
      <w:r>
        <w:lastRenderedPageBreak/>
        <w:t>** Note that the amounts shown below for each program are based on the 2024 allocation</w:t>
      </w:r>
      <w:r w:rsidR="00BE2671">
        <w:t>.  The decrease in funds has been applied to the Community Enrichment program.</w:t>
      </w:r>
    </w:p>
    <w:p w14:paraId="2A7D48FB" w14:textId="77777777" w:rsidR="00C36B74" w:rsidRDefault="00C36B74" w:rsidP="00C244F3">
      <w:pPr>
        <w:ind w:hanging="18"/>
        <w:jc w:val="both"/>
      </w:pPr>
    </w:p>
    <w:bookmarkStart w:id="18" w:name="_Toc153828341"/>
    <w:p w14:paraId="23657D4F" w14:textId="266CBC43" w:rsidR="007D1867" w:rsidRDefault="00117155" w:rsidP="00F33758">
      <w:pPr>
        <w:pStyle w:val="Heading2"/>
      </w:pPr>
      <w:r>
        <w:rPr>
          <w:noProof/>
        </w:rPr>
        <mc:AlternateContent>
          <mc:Choice Requires="wps">
            <w:drawing>
              <wp:anchor distT="0" distB="0" distL="114300" distR="114300" simplePos="0" relativeHeight="251658254" behindDoc="1" locked="0" layoutInCell="1" allowOverlap="1" wp14:anchorId="0B5CB0D2" wp14:editId="1D6E2ACD">
                <wp:simplePos x="0" y="0"/>
                <wp:positionH relativeFrom="column">
                  <wp:posOffset>0</wp:posOffset>
                </wp:positionH>
                <wp:positionV relativeFrom="paragraph">
                  <wp:posOffset>59055</wp:posOffset>
                </wp:positionV>
                <wp:extent cx="6126480" cy="365760"/>
                <wp:effectExtent l="0" t="1905"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65CEE" id="Rectangle 4" o:spid="_x0000_s1026" style="position:absolute;margin-left:0;margin-top:4.65pt;width:482.4pt;height:28.8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277D7B" w:rsidRPr="00277D7B">
        <w:t>C</w:t>
      </w:r>
      <w:r w:rsidR="00184EBD">
        <w:t>ommunity Development Program</w:t>
      </w:r>
      <w:r w:rsidR="00277D7B" w:rsidRPr="00277D7B">
        <w:t>s</w:t>
      </w:r>
      <w:bookmarkEnd w:id="18"/>
    </w:p>
    <w:p w14:paraId="0784F50D" w14:textId="3D8AFC31" w:rsidR="00184EBD" w:rsidRPr="00B66463" w:rsidRDefault="00184EBD" w:rsidP="00AD7705">
      <w:pPr>
        <w:pStyle w:val="Hdg3Font"/>
        <w:rPr>
          <w:u w:val="none"/>
        </w:rPr>
      </w:pPr>
      <w:r>
        <w:t>Total Funds</w:t>
      </w:r>
      <w:r>
        <w:rPr>
          <w:u w:val="none"/>
        </w:rPr>
        <w:t>:</w:t>
      </w:r>
      <w:r w:rsidRPr="00B66463">
        <w:rPr>
          <w:u w:val="none"/>
        </w:rPr>
        <w:tab/>
      </w:r>
      <w:r w:rsidR="00795F90" w:rsidRPr="00B66463">
        <w:rPr>
          <w:u w:val="none"/>
        </w:rPr>
        <w:t xml:space="preserve"> </w:t>
      </w:r>
      <w:r w:rsidR="006E4693" w:rsidRPr="00B66463">
        <w:rPr>
          <w:u w:val="none"/>
        </w:rPr>
        <w:t>$1</w:t>
      </w:r>
      <w:r w:rsidR="6FB48CCF" w:rsidRPr="00B66463">
        <w:rPr>
          <w:u w:val="none"/>
        </w:rPr>
        <w:t>7</w:t>
      </w:r>
      <w:r w:rsidR="006E4693" w:rsidRPr="00B66463">
        <w:rPr>
          <w:u w:val="none"/>
        </w:rPr>
        <w:t>,6</w:t>
      </w:r>
      <w:r w:rsidR="00455D1D">
        <w:rPr>
          <w:u w:val="none"/>
        </w:rPr>
        <w:t>1</w:t>
      </w:r>
      <w:r w:rsidR="004F60A7">
        <w:rPr>
          <w:u w:val="none"/>
        </w:rPr>
        <w:t>5</w:t>
      </w:r>
      <w:r w:rsidR="00455D1D">
        <w:rPr>
          <w:u w:val="none"/>
        </w:rPr>
        <w:t>,</w:t>
      </w:r>
      <w:r w:rsidR="004F60A7">
        <w:rPr>
          <w:u w:val="none"/>
        </w:rPr>
        <w:t>516</w:t>
      </w:r>
    </w:p>
    <w:p w14:paraId="12B9B3CA" w14:textId="77777777" w:rsidR="00241AED" w:rsidRPr="00B1707B" w:rsidRDefault="00241AED" w:rsidP="00AA79AD">
      <w:pPr>
        <w:pStyle w:val="Hdg3Font"/>
      </w:pPr>
    </w:p>
    <w:p w14:paraId="79330B78" w14:textId="77777777" w:rsidR="00184EBD" w:rsidRPr="00B1707B" w:rsidRDefault="00184EBD" w:rsidP="00AA79AD">
      <w:pPr>
        <w:pStyle w:val="Hdg3Font"/>
      </w:pPr>
      <w:r w:rsidRPr="00B1707B">
        <w:t>Description</w:t>
      </w:r>
    </w:p>
    <w:p w14:paraId="364BF88D" w14:textId="77777777" w:rsidR="006D0F4B" w:rsidRPr="00B1707B" w:rsidRDefault="00184EBD" w:rsidP="00184EBD">
      <w:pPr>
        <w:pStyle w:val="BodyText"/>
        <w:rPr>
          <w:b/>
          <w:bCs/>
        </w:rPr>
      </w:pPr>
      <w:r w:rsidRPr="00B1707B">
        <w:t xml:space="preserve">This program is designed to produce outcomes that improve citizens’ quality of life and create a competitive environment </w:t>
      </w:r>
      <w:r w:rsidR="00A25212" w:rsidRPr="00B1707B">
        <w:t>for jobs and investment</w:t>
      </w:r>
      <w:r w:rsidRPr="00B1707B">
        <w:t xml:space="preserve"> by addressing </w:t>
      </w:r>
      <w:r w:rsidR="00636C69" w:rsidRPr="00B1707B">
        <w:t>priority</w:t>
      </w:r>
      <w:r w:rsidRPr="00B1707B">
        <w:t xml:space="preserve"> community development </w:t>
      </w:r>
      <w:r w:rsidR="00A25212" w:rsidRPr="00B1707B">
        <w:t>needs</w:t>
      </w:r>
      <w:r w:rsidR="00276751" w:rsidRPr="00B1707B">
        <w:t xml:space="preserve">. </w:t>
      </w:r>
      <w:r w:rsidR="00162171" w:rsidRPr="00B1707B">
        <w:t>Activities should contribute to healthy, safe and sustainable neighborhoods and c</w:t>
      </w:r>
      <w:r w:rsidR="00400CEB" w:rsidRPr="00B1707B">
        <w:t>ommunities</w:t>
      </w:r>
      <w:r w:rsidR="00162171" w:rsidRPr="00B1707B">
        <w:t>.</w:t>
      </w:r>
      <w:r w:rsidR="00400CEB" w:rsidRPr="00B1707B">
        <w:t xml:space="preserve"> </w:t>
      </w:r>
      <w:r w:rsidR="000A2741" w:rsidRPr="00B1707B">
        <w:t>The</w:t>
      </w:r>
      <w:r w:rsidR="00EF4E67" w:rsidRPr="00B1707B">
        <w:t>se</w:t>
      </w:r>
      <w:r w:rsidR="000A2741" w:rsidRPr="00B1707B">
        <w:t xml:space="preserve"> grants </w:t>
      </w:r>
      <w:r w:rsidR="00EF4E67" w:rsidRPr="00B1707B">
        <w:t>are designed to</w:t>
      </w:r>
      <w:r w:rsidR="000A2741" w:rsidRPr="00B1707B">
        <w:t xml:space="preserve"> improve </w:t>
      </w:r>
      <w:r w:rsidR="00162171" w:rsidRPr="00B1707B">
        <w:t xml:space="preserve">the </w:t>
      </w:r>
      <w:r w:rsidR="000A2741" w:rsidRPr="00B1707B">
        <w:t xml:space="preserve">quality of life for distressed and LMI communities. </w:t>
      </w:r>
      <w:r w:rsidRPr="00B1707B">
        <w:t xml:space="preserve">Community Development projects will compete within </w:t>
      </w:r>
      <w:r w:rsidR="00D10E59" w:rsidRPr="00B1707B">
        <w:t xml:space="preserve">the following </w:t>
      </w:r>
      <w:r w:rsidR="00A25212" w:rsidRPr="00B1707B">
        <w:t>sub</w:t>
      </w:r>
      <w:r w:rsidRPr="00B1707B">
        <w:t xml:space="preserve">categories that have the same general submission requirements, </w:t>
      </w:r>
      <w:r w:rsidR="00A25212" w:rsidRPr="00B1707B">
        <w:t xml:space="preserve">except that </w:t>
      </w:r>
      <w:r w:rsidR="00D10E59" w:rsidRPr="00B1707B">
        <w:t xml:space="preserve">the </w:t>
      </w:r>
      <w:r w:rsidR="000000FC" w:rsidRPr="00B1707B">
        <w:t>Ready to Go</w:t>
      </w:r>
      <w:r w:rsidR="005037AD" w:rsidRPr="00B1707B">
        <w:t xml:space="preserve"> </w:t>
      </w:r>
      <w:r w:rsidR="00D10E59" w:rsidRPr="00B1707B">
        <w:t>Program will not be funded in a competitive funding round</w:t>
      </w:r>
      <w:r w:rsidR="00A25212" w:rsidRPr="00B1707B">
        <w:t>.</w:t>
      </w:r>
      <w:r w:rsidR="00D10E59" w:rsidRPr="00B1707B">
        <w:t xml:space="preserve"> </w:t>
      </w:r>
      <w:r w:rsidR="00A25212" w:rsidRPr="00B1707B">
        <w:t>Applications for this program</w:t>
      </w:r>
      <w:r w:rsidR="00D10E59" w:rsidRPr="00B1707B">
        <w:t xml:space="preserve"> will be consider</w:t>
      </w:r>
      <w:r w:rsidR="002715DD" w:rsidRPr="00B1707B">
        <w:t>ed eligible once all required application</w:t>
      </w:r>
      <w:r w:rsidR="00D10E59" w:rsidRPr="00B1707B">
        <w:t xml:space="preserve"> </w:t>
      </w:r>
      <w:r w:rsidR="002715DD" w:rsidRPr="00B1707B">
        <w:t>information is</w:t>
      </w:r>
      <w:r w:rsidR="00D10E59" w:rsidRPr="00B1707B">
        <w:t xml:space="preserve"> received</w:t>
      </w:r>
      <w:r w:rsidR="000000FC" w:rsidRPr="00B1707B">
        <w:t xml:space="preserve"> </w:t>
      </w:r>
      <w:r w:rsidR="002715DD" w:rsidRPr="00B1707B">
        <w:t xml:space="preserve">and </w:t>
      </w:r>
      <w:r w:rsidR="000000FC" w:rsidRPr="00B1707B">
        <w:t xml:space="preserve">if </w:t>
      </w:r>
      <w:r w:rsidR="00EF4E67" w:rsidRPr="00B1707B">
        <w:t>it</w:t>
      </w:r>
      <w:r w:rsidR="000000FC" w:rsidRPr="00B1707B">
        <w:t xml:space="preserve"> qualif</w:t>
      </w:r>
      <w:r w:rsidR="00EF4E67" w:rsidRPr="00B1707B">
        <w:t>ies</w:t>
      </w:r>
      <w:r w:rsidR="000000FC" w:rsidRPr="00B1707B">
        <w:t xml:space="preserve"> for the minimum score using the </w:t>
      </w:r>
      <w:r w:rsidR="00991CEC" w:rsidRPr="00B1707B">
        <w:t>non-comparative</w:t>
      </w:r>
      <w:r w:rsidR="00991CEC" w:rsidRPr="00B1707B">
        <w:rPr>
          <w:color w:val="1F497D"/>
        </w:rPr>
        <w:t xml:space="preserve"> </w:t>
      </w:r>
      <w:r w:rsidR="000000FC" w:rsidRPr="00B1707B">
        <w:t>scoring criteria of the Community Development Programs</w:t>
      </w:r>
      <w:r w:rsidR="00D10E59" w:rsidRPr="00B1707B">
        <w:t xml:space="preserve">. All other Community Development requirements </w:t>
      </w:r>
      <w:r w:rsidR="00F426EE" w:rsidRPr="00B1707B">
        <w:t xml:space="preserve">will </w:t>
      </w:r>
      <w:r w:rsidR="00D10E59" w:rsidRPr="00B1707B">
        <w:t>apply.</w:t>
      </w:r>
    </w:p>
    <w:p w14:paraId="1B8AF9BD" w14:textId="77777777" w:rsidR="000F4D04" w:rsidRPr="00B1707B" w:rsidRDefault="00184EBD" w:rsidP="009E0359">
      <w:pPr>
        <w:pStyle w:val="Heading2B"/>
        <w:spacing w:before="240" w:after="240"/>
      </w:pPr>
      <w:bookmarkStart w:id="19" w:name="_Toc153828342"/>
      <w:r w:rsidRPr="00B1707B">
        <w:t>Community Infrastructure</w:t>
      </w:r>
      <w:bookmarkEnd w:id="19"/>
    </w:p>
    <w:p w14:paraId="3D9B8A32" w14:textId="7A1AA898" w:rsidR="00184EBD" w:rsidRPr="00B1707B" w:rsidRDefault="00184EBD" w:rsidP="00AA79AD">
      <w:pPr>
        <w:pStyle w:val="Hdg3Font"/>
      </w:pPr>
      <w:r w:rsidRPr="00B1707B">
        <w:t>Funds Available</w:t>
      </w:r>
      <w:r w:rsidRPr="00B1707B">
        <w:rPr>
          <w:szCs w:val="22"/>
          <w:u w:val="none"/>
        </w:rPr>
        <w:t>:</w:t>
      </w:r>
      <w:r w:rsidRPr="000625AA">
        <w:rPr>
          <w:szCs w:val="22"/>
          <w:u w:val="none"/>
        </w:rPr>
        <w:tab/>
      </w:r>
      <w:r w:rsidR="00075627">
        <w:rPr>
          <w:szCs w:val="22"/>
          <w:u w:val="none"/>
        </w:rPr>
        <w:t>$9</w:t>
      </w:r>
      <w:r w:rsidR="005232BA">
        <w:rPr>
          <w:szCs w:val="22"/>
          <w:u w:val="none"/>
        </w:rPr>
        <w:t>,</w:t>
      </w:r>
      <w:r w:rsidR="0030600B">
        <w:rPr>
          <w:szCs w:val="22"/>
          <w:u w:val="none"/>
        </w:rPr>
        <w:t>000,000</w:t>
      </w:r>
      <w:r w:rsidR="0053700D">
        <w:t xml:space="preserve"> </w:t>
      </w:r>
    </w:p>
    <w:p w14:paraId="13118565" w14:textId="77777777" w:rsidR="00184EBD" w:rsidRPr="00B1707B" w:rsidRDefault="00184EBD" w:rsidP="00AA79AD">
      <w:pPr>
        <w:pStyle w:val="BodyText"/>
      </w:pPr>
    </w:p>
    <w:p w14:paraId="22373661" w14:textId="77777777" w:rsidR="00184EBD" w:rsidRPr="00B1707B" w:rsidRDefault="00184EBD" w:rsidP="00AA79AD">
      <w:pPr>
        <w:pStyle w:val="Hdg3Font"/>
        <w:rPr>
          <w:szCs w:val="22"/>
          <w:u w:val="none"/>
        </w:rPr>
      </w:pPr>
      <w:r w:rsidRPr="00B1707B">
        <w:t>Grant Maximum</w:t>
      </w:r>
      <w:r w:rsidR="00795F90" w:rsidRPr="00B1707B">
        <w:rPr>
          <w:szCs w:val="22"/>
          <w:u w:val="none"/>
        </w:rPr>
        <w:t>:</w:t>
      </w:r>
      <w:r w:rsidR="00795F90" w:rsidRPr="00B1707B">
        <w:rPr>
          <w:szCs w:val="22"/>
          <w:u w:val="none"/>
        </w:rPr>
        <w:tab/>
        <w:t>$</w:t>
      </w:r>
      <w:r w:rsidR="00B1036F">
        <w:rPr>
          <w:szCs w:val="22"/>
          <w:u w:val="none"/>
        </w:rPr>
        <w:t>1,000,000</w:t>
      </w:r>
      <w:r w:rsidR="00795F90" w:rsidRPr="00B1707B">
        <w:rPr>
          <w:szCs w:val="22"/>
          <w:u w:val="none"/>
        </w:rPr>
        <w:t>*</w:t>
      </w:r>
    </w:p>
    <w:p w14:paraId="3B2DF40A" w14:textId="77777777" w:rsidR="00184EBD" w:rsidRPr="00B1707B" w:rsidRDefault="00184EBD" w:rsidP="00AA79AD">
      <w:pPr>
        <w:pStyle w:val="Hdg3Font"/>
        <w:spacing w:before="60"/>
      </w:pPr>
      <w:r w:rsidRPr="00B1707B">
        <w:t>Grant Minimum</w:t>
      </w:r>
      <w:r w:rsidRPr="00B1707B">
        <w:rPr>
          <w:szCs w:val="22"/>
          <w:u w:val="none"/>
        </w:rPr>
        <w:t>:</w:t>
      </w:r>
      <w:r w:rsidRPr="00B1707B">
        <w:rPr>
          <w:szCs w:val="22"/>
          <w:u w:val="none"/>
        </w:rPr>
        <w:tab/>
        <w:t>$50,000</w:t>
      </w:r>
    </w:p>
    <w:p w14:paraId="6CF80470" w14:textId="77777777" w:rsidR="00184EBD" w:rsidRPr="00B1707B" w:rsidRDefault="00184EBD" w:rsidP="00AA79AD">
      <w:pPr>
        <w:pStyle w:val="BodyText"/>
      </w:pPr>
    </w:p>
    <w:p w14:paraId="01CF309B" w14:textId="77777777" w:rsidR="00795F90" w:rsidRDefault="00C36B74" w:rsidP="00AA79AD">
      <w:pPr>
        <w:pStyle w:val="BodyText"/>
        <w:rPr>
          <w:szCs w:val="22"/>
        </w:rPr>
      </w:pPr>
      <w:r>
        <w:t>*</w:t>
      </w:r>
      <w:r w:rsidR="00795F90" w:rsidRPr="00B1707B">
        <w:t xml:space="preserve"> </w:t>
      </w:r>
      <w:r w:rsidR="00EA7C45" w:rsidRPr="00B1707B">
        <w:t xml:space="preserve">Waivers of the grant maximum </w:t>
      </w:r>
      <w:r w:rsidR="00EA7C45">
        <w:rPr>
          <w:szCs w:val="22"/>
        </w:rPr>
        <w:t>will be considered</w:t>
      </w:r>
      <w:r w:rsidR="00B61E49">
        <w:rPr>
          <w:szCs w:val="22"/>
        </w:rPr>
        <w:t xml:space="preserve"> </w:t>
      </w:r>
      <w:r w:rsidR="00EA7C45">
        <w:rPr>
          <w:szCs w:val="22"/>
        </w:rPr>
        <w:t>based on</w:t>
      </w:r>
      <w:r w:rsidR="00EF4E67">
        <w:rPr>
          <w:szCs w:val="22"/>
        </w:rPr>
        <w:t xml:space="preserve"> whether the project addresses</w:t>
      </w:r>
      <w:r w:rsidR="00B61E49">
        <w:rPr>
          <w:szCs w:val="22"/>
        </w:rPr>
        <w:t xml:space="preserve"> an </w:t>
      </w:r>
      <w:r w:rsidR="00E75183">
        <w:rPr>
          <w:szCs w:val="22"/>
        </w:rPr>
        <w:t xml:space="preserve">urgent </w:t>
      </w:r>
      <w:r w:rsidR="00B61E49">
        <w:rPr>
          <w:szCs w:val="22"/>
        </w:rPr>
        <w:t>and compelling need</w:t>
      </w:r>
      <w:r w:rsidR="00EA7C45">
        <w:rPr>
          <w:szCs w:val="22"/>
        </w:rPr>
        <w:t>,</w:t>
      </w:r>
      <w:r w:rsidR="00795F90">
        <w:rPr>
          <w:szCs w:val="22"/>
        </w:rPr>
        <w:t xml:space="preserve"> regional solution</w:t>
      </w:r>
      <w:r w:rsidR="00DD0781">
        <w:rPr>
          <w:szCs w:val="22"/>
        </w:rPr>
        <w:t xml:space="preserve">, </w:t>
      </w:r>
      <w:r w:rsidR="00EF4E67">
        <w:rPr>
          <w:szCs w:val="22"/>
        </w:rPr>
        <w:t xml:space="preserve">or </w:t>
      </w:r>
      <w:r w:rsidR="00DD0781">
        <w:rPr>
          <w:szCs w:val="22"/>
        </w:rPr>
        <w:t>system-wide improvements</w:t>
      </w:r>
      <w:r w:rsidR="000F157C">
        <w:rPr>
          <w:szCs w:val="22"/>
        </w:rPr>
        <w:t xml:space="preserve"> </w:t>
      </w:r>
      <w:r w:rsidR="000F157C">
        <w:t>(i.e., treatment plant)</w:t>
      </w:r>
      <w:r w:rsidR="00F426EE">
        <w:rPr>
          <w:szCs w:val="22"/>
        </w:rPr>
        <w:t>,</w:t>
      </w:r>
      <w:r w:rsidR="00EF4E67">
        <w:rPr>
          <w:szCs w:val="22"/>
        </w:rPr>
        <w:t xml:space="preserve"> as well as the extent of</w:t>
      </w:r>
      <w:r w:rsidR="00F426EE">
        <w:rPr>
          <w:szCs w:val="22"/>
        </w:rPr>
        <w:t xml:space="preserve"> </w:t>
      </w:r>
      <w:r w:rsidR="00795F90">
        <w:rPr>
          <w:szCs w:val="22"/>
        </w:rPr>
        <w:t>leveraging</w:t>
      </w:r>
      <w:r w:rsidR="00F426EE">
        <w:rPr>
          <w:szCs w:val="22"/>
        </w:rPr>
        <w:t xml:space="preserve"> and a reasonable</w:t>
      </w:r>
      <w:r w:rsidR="00A1154C">
        <w:rPr>
          <w:szCs w:val="22"/>
        </w:rPr>
        <w:t xml:space="preserve"> CDBG</w:t>
      </w:r>
      <w:r w:rsidR="00F426EE">
        <w:rPr>
          <w:szCs w:val="22"/>
        </w:rPr>
        <w:t xml:space="preserve"> cost </w:t>
      </w:r>
      <w:r w:rsidR="00F72A47">
        <w:rPr>
          <w:szCs w:val="22"/>
        </w:rPr>
        <w:t xml:space="preserve">(generally </w:t>
      </w:r>
      <w:r w:rsidR="004E4882">
        <w:rPr>
          <w:szCs w:val="22"/>
        </w:rPr>
        <w:t>$1</w:t>
      </w:r>
      <w:r w:rsidR="00B1036F">
        <w:rPr>
          <w:szCs w:val="22"/>
        </w:rPr>
        <w:t>5</w:t>
      </w:r>
      <w:r w:rsidR="004E4882">
        <w:rPr>
          <w:szCs w:val="22"/>
        </w:rPr>
        <w:t>,000</w:t>
      </w:r>
      <w:r w:rsidR="00A1154C">
        <w:rPr>
          <w:szCs w:val="22"/>
        </w:rPr>
        <w:t xml:space="preserve"> </w:t>
      </w:r>
      <w:r w:rsidR="004E4882">
        <w:rPr>
          <w:szCs w:val="22"/>
        </w:rPr>
        <w:t>per household or less</w:t>
      </w:r>
      <w:r w:rsidR="00F72A47">
        <w:rPr>
          <w:szCs w:val="22"/>
        </w:rPr>
        <w:t>)</w:t>
      </w:r>
      <w:r w:rsidR="00795F90">
        <w:rPr>
          <w:szCs w:val="22"/>
        </w:rPr>
        <w:t xml:space="preserve">. </w:t>
      </w:r>
      <w:r w:rsidR="00F426EE">
        <w:rPr>
          <w:szCs w:val="22"/>
        </w:rPr>
        <w:t>A written w</w:t>
      </w:r>
      <w:r w:rsidR="00E75183">
        <w:rPr>
          <w:szCs w:val="22"/>
        </w:rPr>
        <w:t xml:space="preserve">aiver </w:t>
      </w:r>
      <w:r w:rsidR="00F426EE">
        <w:rPr>
          <w:szCs w:val="22"/>
        </w:rPr>
        <w:t>request</w:t>
      </w:r>
      <w:r w:rsidR="00EA7C45">
        <w:rPr>
          <w:szCs w:val="22"/>
        </w:rPr>
        <w:t xml:space="preserve"> explaining the rationale</w:t>
      </w:r>
      <w:r w:rsidR="00F426EE">
        <w:rPr>
          <w:szCs w:val="22"/>
        </w:rPr>
        <w:t xml:space="preserve"> </w:t>
      </w:r>
      <w:r w:rsidR="00E75183">
        <w:rPr>
          <w:szCs w:val="22"/>
        </w:rPr>
        <w:t>m</w:t>
      </w:r>
      <w:r w:rsidR="00795F90">
        <w:rPr>
          <w:szCs w:val="22"/>
        </w:rPr>
        <w:t xml:space="preserve">ust be </w:t>
      </w:r>
      <w:r w:rsidR="00F426EE">
        <w:rPr>
          <w:szCs w:val="22"/>
        </w:rPr>
        <w:t xml:space="preserve">submitted for consideration </w:t>
      </w:r>
      <w:r w:rsidR="009A1C25">
        <w:rPr>
          <w:szCs w:val="22"/>
        </w:rPr>
        <w:t>with the application request</w:t>
      </w:r>
      <w:r w:rsidR="00795F90">
        <w:rPr>
          <w:szCs w:val="22"/>
        </w:rPr>
        <w:t xml:space="preserve">. </w:t>
      </w:r>
    </w:p>
    <w:p w14:paraId="04885DCA" w14:textId="77777777" w:rsidR="00E75183" w:rsidRDefault="00E75183" w:rsidP="00AA79AD">
      <w:pPr>
        <w:pStyle w:val="BodyText"/>
      </w:pPr>
    </w:p>
    <w:p w14:paraId="7E82B9B1" w14:textId="77777777" w:rsidR="00184EBD" w:rsidRPr="0033794B" w:rsidRDefault="00184EBD" w:rsidP="00022DA2">
      <w:pPr>
        <w:pStyle w:val="Hdg3Font"/>
        <w:spacing w:after="60"/>
      </w:pPr>
      <w:r w:rsidRPr="0033794B">
        <w:t>Outcome</w:t>
      </w:r>
      <w:r w:rsidR="00E75183">
        <w:t xml:space="preserve"> and Priorities</w:t>
      </w:r>
    </w:p>
    <w:p w14:paraId="781AABAE" w14:textId="77777777" w:rsidR="000B6F7E" w:rsidRDefault="000B6F7E" w:rsidP="000B6F7E">
      <w:pPr>
        <w:pStyle w:val="BodyText"/>
      </w:pPr>
      <w:r>
        <w:t>A Community Infrastructure application must contribute to creation of healthy, resilient and sustainable residential communities through water, sewer, roads, drainage or other activities that address one or more of the priorities listed in order of importance:</w:t>
      </w:r>
    </w:p>
    <w:p w14:paraId="323934F6" w14:textId="77777777" w:rsidR="000B6F7E" w:rsidRDefault="000B6F7E" w:rsidP="000B6F7E">
      <w:pPr>
        <w:pStyle w:val="BodyText"/>
      </w:pPr>
    </w:p>
    <w:p w14:paraId="57B199DB" w14:textId="77777777" w:rsidR="000B6F7E" w:rsidRDefault="000B6F7E" w:rsidP="000B6F7E">
      <w:pPr>
        <w:pStyle w:val="TOC3"/>
        <w:numPr>
          <w:ilvl w:val="0"/>
          <w:numId w:val="23"/>
        </w:numPr>
      </w:pPr>
      <w:r>
        <w:t xml:space="preserve">Significant improvements to existing infrastructure to address health concerns, meet required quality standards, ensure community sustainability or improve resiliency </w:t>
      </w:r>
    </w:p>
    <w:p w14:paraId="53685441" w14:textId="77777777" w:rsidR="000B6F7E" w:rsidRDefault="000B6F7E" w:rsidP="000B6F7E">
      <w:pPr>
        <w:pStyle w:val="TOC3"/>
        <w:numPr>
          <w:ilvl w:val="0"/>
          <w:numId w:val="23"/>
        </w:numPr>
      </w:pPr>
      <w:r>
        <w:t>Projects that result in a more viable regional infrastructure solution or that provide new access to services near business centers where it is cost effective to address a documented health threat</w:t>
      </w:r>
    </w:p>
    <w:p w14:paraId="64751874" w14:textId="77777777" w:rsidR="000B6F7E" w:rsidRDefault="000B6F7E" w:rsidP="000B6F7E">
      <w:pPr>
        <w:pStyle w:val="TOC3"/>
        <w:numPr>
          <w:ilvl w:val="0"/>
          <w:numId w:val="23"/>
        </w:numPr>
      </w:pPr>
      <w:r>
        <w:t xml:space="preserve">Upgrades to infrastructure to address quality standards where there are only general health concerns or provide new services that are not near business centers when it is cost effective to address a documented health threat </w:t>
      </w:r>
    </w:p>
    <w:p w14:paraId="7B3807FB" w14:textId="2BEC789B" w:rsidR="000B6F7E" w:rsidRDefault="000B6F7E" w:rsidP="001B78FD">
      <w:pPr>
        <w:ind w:left="540" w:hanging="630"/>
      </w:pPr>
      <w:r>
        <w:lastRenderedPageBreak/>
        <w:t xml:space="preserve">Note: </w:t>
      </w:r>
      <w:r>
        <w:tab/>
        <w:t>Priority will not be assigned to infrastructure improvements that are necessary because of a lack of maintenance and repairs. Similarly, a priority may not be assigned if new service is proposed for an isolated neighborhood and there is no documented health threat or the service is not cost effective given the number of households committed to benefit.</w:t>
      </w:r>
    </w:p>
    <w:p w14:paraId="2F973354" w14:textId="77777777" w:rsidR="000B6F7E" w:rsidRPr="00B1707B" w:rsidRDefault="000B6F7E" w:rsidP="000B6F7E">
      <w:pPr>
        <w:pStyle w:val="Heading2B"/>
        <w:spacing w:after="0"/>
      </w:pPr>
    </w:p>
    <w:p w14:paraId="5698DCD4" w14:textId="77777777" w:rsidR="007113CC" w:rsidRPr="007B2717" w:rsidRDefault="007113CC" w:rsidP="009E0359">
      <w:pPr>
        <w:pStyle w:val="Heading2B"/>
        <w:spacing w:before="240" w:after="240"/>
      </w:pPr>
      <w:bookmarkStart w:id="20" w:name="_Toc153828343"/>
      <w:bookmarkStart w:id="21" w:name="_Hlk27570891"/>
      <w:r w:rsidRPr="007B2717">
        <w:t xml:space="preserve">Community </w:t>
      </w:r>
      <w:r>
        <w:t>Enrichment</w:t>
      </w:r>
      <w:bookmarkEnd w:id="20"/>
    </w:p>
    <w:p w14:paraId="415C9D83" w14:textId="6E4F68D7" w:rsidR="007F0252" w:rsidRPr="00994911" w:rsidRDefault="007F0252" w:rsidP="007F0252">
      <w:pPr>
        <w:pStyle w:val="Hdg3Font"/>
      </w:pPr>
      <w:r w:rsidRPr="0033794B">
        <w:t>Funds Available</w:t>
      </w:r>
      <w:r w:rsidR="00636C69">
        <w:rPr>
          <w:szCs w:val="22"/>
          <w:u w:val="none"/>
        </w:rPr>
        <w:t>:</w:t>
      </w:r>
      <w:r w:rsidR="00636C69">
        <w:rPr>
          <w:szCs w:val="22"/>
          <w:u w:val="none"/>
        </w:rPr>
        <w:tab/>
      </w:r>
      <w:r w:rsidR="0030600B">
        <w:rPr>
          <w:szCs w:val="22"/>
          <w:u w:val="none"/>
        </w:rPr>
        <w:t>$</w:t>
      </w:r>
      <w:r w:rsidR="00481C8F">
        <w:rPr>
          <w:szCs w:val="22"/>
          <w:u w:val="none"/>
        </w:rPr>
        <w:t>7</w:t>
      </w:r>
      <w:r w:rsidR="0030600B">
        <w:rPr>
          <w:szCs w:val="22"/>
          <w:u w:val="none"/>
        </w:rPr>
        <w:t>,</w:t>
      </w:r>
      <w:r w:rsidR="00075627">
        <w:rPr>
          <w:szCs w:val="22"/>
          <w:u w:val="none"/>
        </w:rPr>
        <w:t>1</w:t>
      </w:r>
      <w:r w:rsidR="00455D1D">
        <w:rPr>
          <w:szCs w:val="22"/>
          <w:u w:val="none"/>
        </w:rPr>
        <w:t>1</w:t>
      </w:r>
      <w:r w:rsidR="000D6902">
        <w:rPr>
          <w:szCs w:val="22"/>
          <w:u w:val="none"/>
        </w:rPr>
        <w:t>5</w:t>
      </w:r>
      <w:r w:rsidR="00455D1D">
        <w:rPr>
          <w:szCs w:val="22"/>
          <w:u w:val="none"/>
        </w:rPr>
        <w:t>,</w:t>
      </w:r>
      <w:r w:rsidR="000D6902">
        <w:rPr>
          <w:szCs w:val="22"/>
          <w:u w:val="none"/>
        </w:rPr>
        <w:t>516</w:t>
      </w:r>
    </w:p>
    <w:p w14:paraId="19138508" w14:textId="77777777" w:rsidR="007F0252" w:rsidRDefault="007F0252" w:rsidP="007F0252">
      <w:pPr>
        <w:pStyle w:val="BodyText"/>
      </w:pPr>
    </w:p>
    <w:p w14:paraId="1CE3409A" w14:textId="4D10C60F" w:rsidR="007F0252" w:rsidRPr="008E1EAE" w:rsidRDefault="007F0252" w:rsidP="1B5910EC">
      <w:pPr>
        <w:pStyle w:val="Hdg3Font"/>
        <w:rPr>
          <w:u w:val="none"/>
        </w:rPr>
      </w:pPr>
      <w:r>
        <w:t>Grant Maximum</w:t>
      </w:r>
      <w:r w:rsidR="00455D1D">
        <w:rPr>
          <w:u w:val="none"/>
        </w:rPr>
        <w:t>:</w:t>
      </w:r>
      <w:r w:rsidR="00455D1D">
        <w:rPr>
          <w:b w:val="0"/>
          <w:bCs/>
          <w:u w:val="none"/>
        </w:rPr>
        <w:tab/>
      </w:r>
      <w:r w:rsidR="00CA533A">
        <w:rPr>
          <w:u w:val="none"/>
        </w:rPr>
        <w:t>$750,000</w:t>
      </w:r>
    </w:p>
    <w:p w14:paraId="55320C5E" w14:textId="77777777" w:rsidR="007F0252" w:rsidRDefault="007F0252" w:rsidP="007F0252">
      <w:pPr>
        <w:pStyle w:val="Hdg3Font"/>
        <w:spacing w:before="60"/>
      </w:pPr>
      <w:r w:rsidRPr="0033794B">
        <w:t>Grant Minimum</w:t>
      </w:r>
      <w:r w:rsidRPr="00AA79AD">
        <w:rPr>
          <w:szCs w:val="22"/>
          <w:u w:val="none"/>
        </w:rPr>
        <w:t>:</w:t>
      </w:r>
      <w:r w:rsidRPr="00AA79AD">
        <w:rPr>
          <w:szCs w:val="22"/>
          <w:u w:val="none"/>
        </w:rPr>
        <w:tab/>
        <w:t>$50,000</w:t>
      </w:r>
    </w:p>
    <w:p w14:paraId="7C11435E" w14:textId="77777777" w:rsidR="007F0252" w:rsidRDefault="007F0252" w:rsidP="007F0252">
      <w:pPr>
        <w:pStyle w:val="BodyText"/>
      </w:pPr>
    </w:p>
    <w:p w14:paraId="3D526974" w14:textId="6E4514A1" w:rsidR="004E4882" w:rsidRDefault="00224210" w:rsidP="00276751">
      <w:pPr>
        <w:jc w:val="both"/>
      </w:pPr>
      <w:bookmarkStart w:id="22" w:name="_Hlk27571258"/>
      <w:r>
        <w:t>Note that</w:t>
      </w:r>
      <w:r w:rsidR="007E443A">
        <w:t>,</w:t>
      </w:r>
      <w:r w:rsidR="007D7AAD">
        <w:t xml:space="preserve"> </w:t>
      </w:r>
      <w:r>
        <w:t>d</w:t>
      </w:r>
      <w:r w:rsidR="00E736E3" w:rsidRPr="00E736E3">
        <w:t xml:space="preserve">ue to federal caps on public services/equipment, the number and amount of grants for </w:t>
      </w:r>
      <w:r w:rsidR="007B56E5">
        <w:t>public services out of this program</w:t>
      </w:r>
      <w:r w:rsidR="00E736E3" w:rsidRPr="00E736E3">
        <w:t xml:space="preserve"> may be limited</w:t>
      </w:r>
      <w:r w:rsidR="00636C69">
        <w:t>.</w:t>
      </w:r>
      <w:r w:rsidR="00552ADF">
        <w:t xml:space="preserve"> </w:t>
      </w:r>
      <w:r w:rsidR="00E964A1">
        <w:t>Also, planning grants are subject to a $</w:t>
      </w:r>
      <w:r w:rsidR="00D46A58">
        <w:t>50</w:t>
      </w:r>
      <w:r w:rsidR="00E964A1">
        <w:t>,000 maximum with a potential waiver for infrastructure studies with adequate documentation.</w:t>
      </w:r>
      <w:bookmarkEnd w:id="22"/>
    </w:p>
    <w:p w14:paraId="1DA46E2B" w14:textId="77777777" w:rsidR="00613F49" w:rsidRDefault="00613F49" w:rsidP="00276751">
      <w:pPr>
        <w:jc w:val="both"/>
      </w:pPr>
    </w:p>
    <w:p w14:paraId="48233818" w14:textId="2F35B705" w:rsidR="00914CDC" w:rsidRDefault="00D46A58" w:rsidP="00914CDC">
      <w:pPr>
        <w:pStyle w:val="BodyText"/>
        <w:rPr>
          <w:szCs w:val="22"/>
        </w:rPr>
      </w:pPr>
      <w:bookmarkStart w:id="23" w:name="_Hlk123657227"/>
      <w:r>
        <w:t xml:space="preserve">NOTE: </w:t>
      </w:r>
      <w:r w:rsidR="008E2B13">
        <w:t>Waivers of the grant maximum</w:t>
      </w:r>
      <w:r w:rsidR="00D7586E">
        <w:t>, up to $1 million,</w:t>
      </w:r>
      <w:r w:rsidR="008E2B13">
        <w:t xml:space="preserve"> may be considered for </w:t>
      </w:r>
      <w:r w:rsidR="00D7586E">
        <w:t xml:space="preserve">projects proposing Priority 1 or 2 activities in counties designated as Development Status Tier 3 or 4. </w:t>
      </w:r>
      <w:r w:rsidR="00914CDC">
        <w:rPr>
          <w:szCs w:val="22"/>
        </w:rPr>
        <w:t xml:space="preserve">A written waiver request explaining the rationale </w:t>
      </w:r>
      <w:r w:rsidR="00D7586E">
        <w:rPr>
          <w:szCs w:val="22"/>
        </w:rPr>
        <w:t xml:space="preserve">and including supporting documentation </w:t>
      </w:r>
      <w:r w:rsidR="00914CDC">
        <w:rPr>
          <w:szCs w:val="22"/>
        </w:rPr>
        <w:t xml:space="preserve">must be submitted for consideration with the application request. </w:t>
      </w:r>
      <w:bookmarkEnd w:id="23"/>
    </w:p>
    <w:bookmarkEnd w:id="21"/>
    <w:p w14:paraId="0A2BCDB5" w14:textId="77777777" w:rsidR="007F580F" w:rsidRPr="00E736E3" w:rsidRDefault="007F580F" w:rsidP="00276751">
      <w:pPr>
        <w:jc w:val="both"/>
      </w:pPr>
    </w:p>
    <w:p w14:paraId="5ABDA9A9" w14:textId="16A699CB" w:rsidR="00976AC8" w:rsidRDefault="02F4E7F5" w:rsidP="6C388AA2">
      <w:pPr>
        <w:pStyle w:val="Hdg3Font"/>
        <w:spacing w:after="60" w:line="259" w:lineRule="auto"/>
        <w:rPr>
          <w:bCs/>
          <w:sz w:val="24"/>
        </w:rPr>
      </w:pPr>
      <w:r w:rsidRPr="6C388AA2">
        <w:rPr>
          <w:bCs/>
        </w:rPr>
        <w:t>Outcome and Priorities</w:t>
      </w:r>
    </w:p>
    <w:p w14:paraId="4387FC1B" w14:textId="09CFDA4F" w:rsidR="00976AC8" w:rsidRDefault="02F4E7F5" w:rsidP="6C388AA2">
      <w:r>
        <w:t>This program is designed to fund public facilities, services and other activities that strengthen existing communities and support a high quality of life within the following state priority areas:</w:t>
      </w:r>
    </w:p>
    <w:p w14:paraId="61DA671E" w14:textId="3DC58E62" w:rsidR="00976AC8" w:rsidRDefault="007911C7" w:rsidP="6C388AA2">
      <w:pPr>
        <w:pStyle w:val="ListParagraph"/>
        <w:numPr>
          <w:ilvl w:val="0"/>
          <w:numId w:val="4"/>
        </w:numPr>
      </w:pPr>
      <w:r>
        <w:t>E</w:t>
      </w:r>
      <w:r w:rsidR="02F4E7F5">
        <w:t>conomic competitiveness, resiliency and narrowing the digital divide</w:t>
      </w:r>
    </w:p>
    <w:p w14:paraId="4FD6A35B" w14:textId="443D34CF" w:rsidR="00976AC8" w:rsidRDefault="02F4E7F5" w:rsidP="6C388AA2">
      <w:pPr>
        <w:pStyle w:val="ListParagraph"/>
        <w:numPr>
          <w:ilvl w:val="0"/>
          <w:numId w:val="4"/>
        </w:numPr>
      </w:pPr>
      <w:r>
        <w:t>Education and workforce development</w:t>
      </w:r>
    </w:p>
    <w:p w14:paraId="33E21A5C" w14:textId="76AD4A48" w:rsidR="00976AC8" w:rsidRDefault="02F4E7F5" w:rsidP="6C388AA2">
      <w:pPr>
        <w:pStyle w:val="ListParagraph"/>
        <w:numPr>
          <w:ilvl w:val="0"/>
          <w:numId w:val="4"/>
        </w:numPr>
      </w:pPr>
      <w:r>
        <w:t>Safe and healthy communities</w:t>
      </w:r>
    </w:p>
    <w:p w14:paraId="456DA174" w14:textId="50F36041" w:rsidR="00976AC8" w:rsidRDefault="00976AC8" w:rsidP="6C388AA2"/>
    <w:p w14:paraId="4337D6F4" w14:textId="47C52611" w:rsidR="00976AC8" w:rsidRDefault="02F4E7F5" w:rsidP="6C388AA2">
      <w:r>
        <w:t>Project investments should</w:t>
      </w:r>
      <w:r w:rsidR="001B78FD">
        <w:t xml:space="preserve"> </w:t>
      </w:r>
      <w:r>
        <w:t xml:space="preserve">contribute to </w:t>
      </w:r>
      <w:r w:rsidR="4C1F8CFB">
        <w:t xml:space="preserve">quality of life and </w:t>
      </w:r>
      <w:r>
        <w:t>the long</w:t>
      </w:r>
      <w:r w:rsidR="4800638A">
        <w:t>-</w:t>
      </w:r>
      <w:r>
        <w:t>term vitality of communities. Activities must have the broad support of citizens and local businesses. Buildings and brownfield sites should be owned by the local government</w:t>
      </w:r>
      <w:r w:rsidR="2FE46746">
        <w:t>.</w:t>
      </w:r>
      <w:r w:rsidR="37FBE685">
        <w:t xml:space="preserve"> Note that costs for operating or maintaining public facilities </w:t>
      </w:r>
      <w:r w:rsidR="0A9A412C">
        <w:t>are</w:t>
      </w:r>
      <w:r w:rsidR="37FBE685">
        <w:t xml:space="preserve"> not eligible for CDBG, so building projects must demonstrate financial viability</w:t>
      </w:r>
      <w:r w:rsidR="1DB4EF82">
        <w:t>.</w:t>
      </w:r>
      <w:r w:rsidR="37FBE685">
        <w:t xml:space="preserve"> </w:t>
      </w:r>
      <w:r w:rsidR="4638C3FC">
        <w:t>Equipment for public service activities must be for new or expanded services and generally associated with a significant capital investment in facilities. Only major pieces of equipment that have a durable life of five years will be considered for funding.</w:t>
      </w:r>
    </w:p>
    <w:p w14:paraId="4BC79EFA" w14:textId="20B802CF" w:rsidR="00976AC8" w:rsidRDefault="00976AC8" w:rsidP="6C388AA2"/>
    <w:p w14:paraId="5C98AD16" w14:textId="546AB671" w:rsidR="00976AC8" w:rsidRDefault="02F4E7F5" w:rsidP="6C388AA2">
      <w:r>
        <w:t>A variety of activities are eligible but consideration for funding will be based on state priorities listed below and in the Community Development Selection Criteria:</w:t>
      </w:r>
    </w:p>
    <w:p w14:paraId="5405FE1E" w14:textId="4149DB99" w:rsidR="00976AC8" w:rsidRDefault="00976AC8" w:rsidP="6C388AA2"/>
    <w:p w14:paraId="0BD139F3" w14:textId="00AC2FC1" w:rsidR="00976AC8" w:rsidRDefault="02F4E7F5" w:rsidP="6C388AA2">
      <w:pPr>
        <w:pStyle w:val="ListParagraph"/>
        <w:numPr>
          <w:ilvl w:val="0"/>
          <w:numId w:val="1"/>
        </w:numPr>
      </w:pPr>
      <w:r>
        <w:t>First priority - Economic Competitiveness</w:t>
      </w:r>
    </w:p>
    <w:p w14:paraId="06BA00AD" w14:textId="5F2E4256" w:rsidR="00976AC8" w:rsidRDefault="02F4E7F5" w:rsidP="6C388AA2">
      <w:pPr>
        <w:pStyle w:val="ListParagraph"/>
        <w:numPr>
          <w:ilvl w:val="1"/>
          <w:numId w:val="1"/>
        </w:numPr>
      </w:pPr>
      <w:r>
        <w:t>Brownfield projects or demolition of obsolete buildings</w:t>
      </w:r>
    </w:p>
    <w:p w14:paraId="4FB01ACD" w14:textId="77777777" w:rsidR="00C00597" w:rsidRDefault="00C00597" w:rsidP="00C00597">
      <w:pPr>
        <w:pStyle w:val="ListParagraph"/>
        <w:numPr>
          <w:ilvl w:val="1"/>
          <w:numId w:val="1"/>
        </w:numPr>
      </w:pPr>
      <w:r>
        <w:t>Demolition of vacant, dilapidated residential structures in a targeted LMI neighborhood</w:t>
      </w:r>
    </w:p>
    <w:p w14:paraId="3C814B38" w14:textId="0939DBCA" w:rsidR="00976AC8" w:rsidRDefault="02F4E7F5" w:rsidP="6C388AA2">
      <w:pPr>
        <w:pStyle w:val="ListParagraph"/>
        <w:numPr>
          <w:ilvl w:val="1"/>
          <w:numId w:val="1"/>
        </w:numPr>
      </w:pPr>
      <w:r>
        <w:t>Downtown streetscape improvements. Projects must include a plan for retail/small business support.</w:t>
      </w:r>
    </w:p>
    <w:p w14:paraId="6B8B08AE" w14:textId="77777777" w:rsidR="00C00597" w:rsidRDefault="00C00597" w:rsidP="00C00597">
      <w:pPr>
        <w:pStyle w:val="ListParagraph"/>
        <w:numPr>
          <w:ilvl w:val="1"/>
          <w:numId w:val="1"/>
        </w:numPr>
      </w:pPr>
      <w:r>
        <w:t xml:space="preserve">New or upgraded sidewalks in LMI residential areas </w:t>
      </w:r>
    </w:p>
    <w:p w14:paraId="41E481D2" w14:textId="4FD8F8B7" w:rsidR="00976AC8" w:rsidRDefault="02F4E7F5" w:rsidP="6C388AA2">
      <w:pPr>
        <w:pStyle w:val="ListParagraph"/>
        <w:numPr>
          <w:ilvl w:val="1"/>
          <w:numId w:val="1"/>
        </w:numPr>
      </w:pPr>
      <w:r>
        <w:t xml:space="preserve">Planning by professional engineers and architects for regional infrastructure, hazard mitigation, resiliency and sustainability for eligible public infrastructure </w:t>
      </w:r>
      <w:r>
        <w:lastRenderedPageBreak/>
        <w:t>and facilities, broadband, brownfields clean up and redevelopment, or master drainage studies</w:t>
      </w:r>
    </w:p>
    <w:p w14:paraId="51CA67E9" w14:textId="77777777" w:rsidR="00C00597" w:rsidRDefault="00C00597" w:rsidP="00C00597">
      <w:pPr>
        <w:pStyle w:val="ListParagraph"/>
        <w:ind w:left="1440"/>
      </w:pPr>
    </w:p>
    <w:p w14:paraId="28144722" w14:textId="321E4860" w:rsidR="00976AC8" w:rsidRDefault="02F4E7F5" w:rsidP="7C312899">
      <w:pPr>
        <w:pStyle w:val="ListParagraph"/>
        <w:numPr>
          <w:ilvl w:val="0"/>
          <w:numId w:val="1"/>
        </w:numPr>
      </w:pPr>
      <w:r>
        <w:t xml:space="preserve">Second priority - </w:t>
      </w:r>
      <w:r w:rsidR="00976AC8">
        <w:t>Education and Workforce Development</w:t>
      </w:r>
    </w:p>
    <w:p w14:paraId="23C11E85" w14:textId="4629FCE0" w:rsidR="00976AC8" w:rsidRDefault="02F4E7F5" w:rsidP="007911C7">
      <w:pPr>
        <w:pStyle w:val="ListParagraph"/>
        <w:numPr>
          <w:ilvl w:val="1"/>
          <w:numId w:val="1"/>
        </w:numPr>
      </w:pPr>
      <w:r>
        <w:t>Librar</w:t>
      </w:r>
      <w:r w:rsidR="00C00597">
        <w:t>y</w:t>
      </w:r>
      <w:r>
        <w:t xml:space="preserve"> facilities or services (fixed or mobile)</w:t>
      </w:r>
      <w:r w:rsidR="60071DF8" w:rsidRPr="7C312899">
        <w:t>, including renovation or new construction</w:t>
      </w:r>
      <w:r w:rsidR="579DC342" w:rsidRPr="7C312899">
        <w:t xml:space="preserve"> </w:t>
      </w:r>
      <w:r w:rsidR="3BF0F4BA">
        <w:t xml:space="preserve">and equipment for internet connectivity </w:t>
      </w:r>
    </w:p>
    <w:p w14:paraId="09EFFAED" w14:textId="230DD354" w:rsidR="659C6EF4" w:rsidRDefault="19A221C3" w:rsidP="007911C7">
      <w:pPr>
        <w:pStyle w:val="ListParagraph"/>
        <w:numPr>
          <w:ilvl w:val="1"/>
          <w:numId w:val="1"/>
        </w:numPr>
      </w:pPr>
      <w:r>
        <w:t xml:space="preserve">Publicly owned </w:t>
      </w:r>
      <w:r w:rsidR="138C72D7">
        <w:t>c</w:t>
      </w:r>
      <w:r w:rsidR="659C6EF4">
        <w:t>hildcare facilities (facilities intended primarily for children age 12 and under, e.g. daycare centers and Head Start preschool centers)</w:t>
      </w:r>
    </w:p>
    <w:p w14:paraId="7475A5C5" w14:textId="0E06935B" w:rsidR="34CA9F89" w:rsidRDefault="001B78FD" w:rsidP="007911C7">
      <w:pPr>
        <w:pStyle w:val="ListParagraph"/>
        <w:numPr>
          <w:ilvl w:val="1"/>
          <w:numId w:val="1"/>
        </w:numPr>
      </w:pPr>
      <w:r>
        <w:t>Other publicly owned facilities</w:t>
      </w:r>
      <w:r w:rsidR="007911C7">
        <w:t xml:space="preserve"> </w:t>
      </w:r>
      <w:r>
        <w:t>principally designed</w:t>
      </w:r>
      <w:r w:rsidR="2808B6F9">
        <w:t xml:space="preserve"> as</w:t>
      </w:r>
      <w:r w:rsidR="007911C7">
        <w:t xml:space="preserve"> multi-service centers</w:t>
      </w:r>
      <w:r>
        <w:t xml:space="preserve"> that will be used for educational programming</w:t>
      </w:r>
      <w:r w:rsidR="007911C7">
        <w:t xml:space="preserve"> or workforce training </w:t>
      </w:r>
    </w:p>
    <w:p w14:paraId="7F9AB4F2" w14:textId="798722AE" w:rsidR="34CA9F89" w:rsidRDefault="2D3EAB28" w:rsidP="007911C7">
      <w:pPr>
        <w:pStyle w:val="ListParagraph"/>
        <w:numPr>
          <w:ilvl w:val="1"/>
          <w:numId w:val="1"/>
        </w:numPr>
      </w:pPr>
      <w:r>
        <w:t>Publicly owned t</w:t>
      </w:r>
      <w:r w:rsidR="02F4E7F5">
        <w:t>ransportation-oriented public facilities or services to serve LMI workforce populations</w:t>
      </w:r>
    </w:p>
    <w:p w14:paraId="14FF1DA3" w14:textId="4F77D1B3" w:rsidR="7519414D" w:rsidRDefault="7519414D"/>
    <w:p w14:paraId="3E40AC48" w14:textId="2EE2C76A" w:rsidR="00976AC8" w:rsidRDefault="02F4E7F5" w:rsidP="6C388AA2">
      <w:pPr>
        <w:pStyle w:val="ListParagraph"/>
        <w:numPr>
          <w:ilvl w:val="0"/>
          <w:numId w:val="1"/>
        </w:numPr>
      </w:pPr>
      <w:r>
        <w:t>Third priority – Safe and Healthy Communities</w:t>
      </w:r>
    </w:p>
    <w:p w14:paraId="3FAF9347" w14:textId="61364542" w:rsidR="00976AC8" w:rsidRDefault="02F4E7F5" w:rsidP="6C388AA2">
      <w:pPr>
        <w:pStyle w:val="ListParagraph"/>
        <w:numPr>
          <w:ilvl w:val="1"/>
          <w:numId w:val="1"/>
        </w:numPr>
      </w:pPr>
      <w:r>
        <w:t>Public safety facilities and services in LMI areas</w:t>
      </w:r>
      <w:r w:rsidR="5BD2562B">
        <w:t>, such as a police substation</w:t>
      </w:r>
      <w:r>
        <w:t>. Primary police stations are not eligible.</w:t>
      </w:r>
    </w:p>
    <w:p w14:paraId="0940CC83" w14:textId="51745538" w:rsidR="00976AC8" w:rsidRDefault="02F4E7F5" w:rsidP="6C388AA2">
      <w:pPr>
        <w:pStyle w:val="ListParagraph"/>
        <w:numPr>
          <w:ilvl w:val="1"/>
          <w:numId w:val="1"/>
        </w:numPr>
      </w:pPr>
      <w:r>
        <w:t xml:space="preserve">Fire substations or fire trucks </w:t>
      </w:r>
      <w:r w:rsidR="55E8C18B">
        <w:t xml:space="preserve">for </w:t>
      </w:r>
      <w:r>
        <w:t xml:space="preserve">existing stations </w:t>
      </w:r>
      <w:r w:rsidR="36D752B6">
        <w:t>that serve</w:t>
      </w:r>
      <w:r w:rsidR="45F80C87">
        <w:t xml:space="preserve"> </w:t>
      </w:r>
      <w:r>
        <w:t>LMI residential areas</w:t>
      </w:r>
      <w:r w:rsidR="66AD9C2A">
        <w:t xml:space="preserve"> </w:t>
      </w:r>
      <w:r w:rsidR="71F15C38">
        <w:t>if there will be a documented ISO</w:t>
      </w:r>
      <w:r w:rsidR="119DB5BA">
        <w:t xml:space="preserve"> (Insurance Services Office)</w:t>
      </w:r>
      <w:r w:rsidR="71F15C38">
        <w:t xml:space="preserve"> reduction or expansion of service</w:t>
      </w:r>
    </w:p>
    <w:p w14:paraId="18281321" w14:textId="0B1D2C00" w:rsidR="00976AC8" w:rsidRDefault="222652B7" w:rsidP="6C388AA2">
      <w:pPr>
        <w:pStyle w:val="ListParagraph"/>
        <w:numPr>
          <w:ilvl w:val="1"/>
          <w:numId w:val="1"/>
        </w:numPr>
      </w:pPr>
      <w:r>
        <w:t>Publicly owned h</w:t>
      </w:r>
      <w:r w:rsidR="02F4E7F5">
        <w:t>ealth</w:t>
      </w:r>
      <w:r w:rsidR="0A5ABB07">
        <w:t xml:space="preserve"> and/or social services</w:t>
      </w:r>
      <w:r w:rsidR="02F4E7F5">
        <w:t xml:space="preserve"> facilities or equipment in underserved </w:t>
      </w:r>
      <w:r w:rsidR="36500F2E">
        <w:t xml:space="preserve">LMI </w:t>
      </w:r>
      <w:r w:rsidR="02F4E7F5">
        <w:t xml:space="preserve">areas </w:t>
      </w:r>
    </w:p>
    <w:p w14:paraId="6D280B24" w14:textId="40C28DB2" w:rsidR="00976AC8" w:rsidRDefault="63CAC95D" w:rsidP="6C388AA2">
      <w:pPr>
        <w:pStyle w:val="ListParagraph"/>
        <w:numPr>
          <w:ilvl w:val="1"/>
          <w:numId w:val="1"/>
        </w:numPr>
      </w:pPr>
      <w:r w:rsidRPr="6C388AA2">
        <w:t xml:space="preserve">ADA accessibility and energy efficiency improvements </w:t>
      </w:r>
      <w:r w:rsidR="02F4E7F5">
        <w:t>for CDBG eligible public facilities (i.e., replacing windows, upgrading HVAC, etc.)</w:t>
      </w:r>
    </w:p>
    <w:p w14:paraId="46B88169" w14:textId="0421024B" w:rsidR="00976AC8" w:rsidRDefault="00976AC8" w:rsidP="6C388AA2"/>
    <w:p w14:paraId="26645975" w14:textId="77777777" w:rsidR="00E034C1" w:rsidRPr="00E736E3" w:rsidRDefault="001C7FD3" w:rsidP="00976AC8">
      <w:pPr>
        <w:pStyle w:val="Heading2B"/>
        <w:spacing w:before="240" w:after="240"/>
      </w:pPr>
      <w:bookmarkStart w:id="24" w:name="_Toc153828344"/>
      <w:r>
        <w:t>Local Priorities</w:t>
      </w:r>
      <w:r w:rsidR="00E034C1">
        <w:t xml:space="preserve"> </w:t>
      </w:r>
      <w:r w:rsidR="00E034C1" w:rsidRPr="00E736E3">
        <w:t>Program</w:t>
      </w:r>
      <w:bookmarkEnd w:id="24"/>
    </w:p>
    <w:p w14:paraId="72C893E6" w14:textId="00F1EC38" w:rsidR="00E034C1" w:rsidRPr="00E736E3" w:rsidRDefault="00E034C1" w:rsidP="00E034C1">
      <w:pPr>
        <w:pStyle w:val="Hdg3Font"/>
      </w:pPr>
      <w:r w:rsidRPr="00E736E3">
        <w:t>Funds Available</w:t>
      </w:r>
      <w:r w:rsidRPr="00E736E3">
        <w:rPr>
          <w:szCs w:val="22"/>
          <w:u w:val="none"/>
        </w:rPr>
        <w:t>:</w:t>
      </w:r>
      <w:r w:rsidRPr="00E736E3">
        <w:rPr>
          <w:szCs w:val="22"/>
          <w:u w:val="none"/>
        </w:rPr>
        <w:tab/>
      </w:r>
      <w:r w:rsidR="006E4693">
        <w:rPr>
          <w:szCs w:val="22"/>
          <w:u w:val="none"/>
          <w:lang w:val="fr-FR"/>
        </w:rPr>
        <w:t>$1,</w:t>
      </w:r>
      <w:r w:rsidR="00075627">
        <w:rPr>
          <w:szCs w:val="22"/>
          <w:u w:val="none"/>
          <w:lang w:val="fr-FR"/>
        </w:rPr>
        <w:t>000,000</w:t>
      </w:r>
    </w:p>
    <w:p w14:paraId="13DED9D1" w14:textId="77777777" w:rsidR="00E034C1" w:rsidRPr="00B060F0" w:rsidRDefault="00E034C1" w:rsidP="00E034C1"/>
    <w:p w14:paraId="6756D2C2" w14:textId="77777777" w:rsidR="00E034C1" w:rsidRPr="00E736E3" w:rsidRDefault="00E034C1" w:rsidP="00E034C1">
      <w:pPr>
        <w:pStyle w:val="Hdg3Font"/>
        <w:rPr>
          <w:szCs w:val="22"/>
        </w:rPr>
      </w:pPr>
      <w:r w:rsidRPr="00E736E3">
        <w:t>Grant Maximum</w:t>
      </w:r>
      <w:r w:rsidRPr="00E736E3">
        <w:rPr>
          <w:szCs w:val="22"/>
          <w:u w:val="none"/>
        </w:rPr>
        <w:t>:</w:t>
      </w:r>
      <w:r w:rsidRPr="00E736E3">
        <w:rPr>
          <w:szCs w:val="22"/>
          <w:u w:val="none"/>
        </w:rPr>
        <w:tab/>
      </w:r>
      <w:r w:rsidR="003E4672">
        <w:rPr>
          <w:szCs w:val="22"/>
          <w:u w:val="none"/>
        </w:rPr>
        <w:t>$300,000</w:t>
      </w:r>
    </w:p>
    <w:p w14:paraId="08E04049" w14:textId="77777777" w:rsidR="00E034C1" w:rsidRPr="00E736E3" w:rsidRDefault="00E034C1" w:rsidP="00E034C1">
      <w:pPr>
        <w:pStyle w:val="Hdg3Font"/>
        <w:spacing w:before="60"/>
      </w:pPr>
      <w:r w:rsidRPr="00E736E3">
        <w:t>Grant Minimum</w:t>
      </w:r>
      <w:r w:rsidRPr="00E736E3">
        <w:rPr>
          <w:szCs w:val="22"/>
          <w:u w:val="none"/>
        </w:rPr>
        <w:t>:</w:t>
      </w:r>
      <w:r w:rsidRPr="00E736E3">
        <w:rPr>
          <w:szCs w:val="22"/>
          <w:u w:val="none"/>
        </w:rPr>
        <w:tab/>
        <w:t>$50,000</w:t>
      </w:r>
    </w:p>
    <w:p w14:paraId="1E0EE1E6" w14:textId="77777777" w:rsidR="00976AC8" w:rsidRDefault="00976AC8" w:rsidP="00022DA2">
      <w:pPr>
        <w:pStyle w:val="Hdg3Font"/>
        <w:spacing w:after="60"/>
        <w:rPr>
          <w:rFonts w:ascii="Times New Roman" w:hAnsi="Times New Roman" w:cs="Times New Roman"/>
          <w:b w:val="0"/>
          <w:i w:val="0"/>
          <w:sz w:val="24"/>
          <w:u w:val="none"/>
        </w:rPr>
      </w:pPr>
    </w:p>
    <w:p w14:paraId="3BFD02EE" w14:textId="77777777" w:rsidR="00323EFA" w:rsidRPr="007E443A" w:rsidRDefault="007E443A" w:rsidP="00022DA2">
      <w:pPr>
        <w:pStyle w:val="Hdg3Font"/>
        <w:spacing w:after="60"/>
        <w:rPr>
          <w:rFonts w:ascii="Times New Roman" w:hAnsi="Times New Roman" w:cs="Times New Roman"/>
          <w:b w:val="0"/>
          <w:i w:val="0"/>
          <w:sz w:val="24"/>
          <w:u w:val="none"/>
        </w:rPr>
      </w:pPr>
      <w:r w:rsidRPr="007E443A">
        <w:rPr>
          <w:rFonts w:ascii="Times New Roman" w:hAnsi="Times New Roman" w:cs="Times New Roman"/>
          <w:b w:val="0"/>
          <w:i w:val="0"/>
          <w:sz w:val="24"/>
          <w:u w:val="none"/>
        </w:rPr>
        <w:t>Note that, due to federal caps on public services, the number and amount of grants for public services out of this program may be limited.</w:t>
      </w:r>
    </w:p>
    <w:p w14:paraId="74663E26" w14:textId="77777777" w:rsidR="007E443A" w:rsidRDefault="007E443A" w:rsidP="00022DA2">
      <w:pPr>
        <w:pStyle w:val="Hdg3Font"/>
        <w:spacing w:after="60"/>
      </w:pPr>
    </w:p>
    <w:p w14:paraId="116B21E8" w14:textId="77777777" w:rsidR="00E034C1" w:rsidRPr="0033794B" w:rsidRDefault="00E034C1" w:rsidP="00022DA2">
      <w:pPr>
        <w:pStyle w:val="Hdg3Font"/>
        <w:spacing w:after="60"/>
      </w:pPr>
      <w:r w:rsidRPr="0033794B">
        <w:t>Outcome</w:t>
      </w:r>
      <w:r w:rsidR="00201308">
        <w:t xml:space="preserve"> and Priorities</w:t>
      </w:r>
    </w:p>
    <w:p w14:paraId="56007C8C" w14:textId="77777777" w:rsidR="00E034C1" w:rsidRDefault="00E034C1" w:rsidP="00613F49">
      <w:r>
        <w:t xml:space="preserve">This program is designed to </w:t>
      </w:r>
      <w:r w:rsidR="003A69E5">
        <w:t>address unique local and regional needs and priorities for addressing those needs through community development</w:t>
      </w:r>
      <w:r w:rsidR="003E4672">
        <w:t>, including p</w:t>
      </w:r>
      <w:r w:rsidR="003A69E5">
        <w:t xml:space="preserve">rojects that reflect priorities established in conjunction with the Department of Commerce Business Incentives &amp; Community Development Division. Projects may reflect </w:t>
      </w:r>
      <w:r>
        <w:t xml:space="preserve">community development needs that are not typically funded through the other </w:t>
      </w:r>
      <w:r w:rsidR="003A69E5">
        <w:t xml:space="preserve">State </w:t>
      </w:r>
      <w:r w:rsidR="00AA47EC">
        <w:t>CDBG</w:t>
      </w:r>
      <w:r>
        <w:t xml:space="preserve"> programs</w:t>
      </w:r>
      <w:r w:rsidR="003A69E5">
        <w:t>, and generally should not be funded by other HUD partner programs, such as HOME and NHTF (affordable housing), ESG (homelessness) or HOPWA (special needs).</w:t>
      </w:r>
      <w:r>
        <w:t xml:space="preserve">  These funds will be used for alternative grant activities and partnerships that meet the community development needs of eligib</w:t>
      </w:r>
      <w:r w:rsidR="0075004D">
        <w:t>le municipali</w:t>
      </w:r>
      <w:r>
        <w:t xml:space="preserve">ties.  </w:t>
      </w:r>
      <w:r w:rsidR="002C34CF">
        <w:t>Local priority</w:t>
      </w:r>
      <w:r>
        <w:t xml:space="preserve"> projects could include historic preservation, innovation, energy conservation, parks</w:t>
      </w:r>
      <w:r w:rsidR="00AA3871">
        <w:t>,</w:t>
      </w:r>
      <w:r>
        <w:t xml:space="preserve"> and trails</w:t>
      </w:r>
      <w:r w:rsidR="001E6D47">
        <w:t>/</w:t>
      </w:r>
      <w:r w:rsidR="003B0C1C">
        <w:t>greenways</w:t>
      </w:r>
      <w:r>
        <w:t xml:space="preserve">.  </w:t>
      </w:r>
      <w:r w:rsidR="008E2B13">
        <w:t xml:space="preserve">New or expanded public service activities are also eligible.  </w:t>
      </w:r>
      <w:r>
        <w:t>Project</w:t>
      </w:r>
      <w:r w:rsidR="0042214E">
        <w:t>s</w:t>
      </w:r>
      <w:r>
        <w:t xml:space="preserve"> should </w:t>
      </w:r>
      <w:r w:rsidR="003A69E5">
        <w:t xml:space="preserve">leverage other funding or include local funding, </w:t>
      </w:r>
      <w:r>
        <w:t xml:space="preserve">impact </w:t>
      </w:r>
      <w:r w:rsidR="003A69E5">
        <w:t xml:space="preserve">identified needs </w:t>
      </w:r>
      <w:r>
        <w:t xml:space="preserve">and </w:t>
      </w:r>
      <w:r w:rsidR="003A69E5">
        <w:t xml:space="preserve">demonstrate strong </w:t>
      </w:r>
      <w:r>
        <w:t>community support while meeting a National Objective</w:t>
      </w:r>
      <w:r w:rsidR="00AA3871">
        <w:t xml:space="preserve"> and all other requirements</w:t>
      </w:r>
      <w:r>
        <w:t>.</w:t>
      </w:r>
      <w:r w:rsidR="003B0C1C">
        <w:t xml:space="preserve"> </w:t>
      </w:r>
    </w:p>
    <w:p w14:paraId="2E9B4C72" w14:textId="77777777" w:rsidR="00B66463" w:rsidRDefault="00B66463" w:rsidP="00504A80">
      <w:pPr>
        <w:jc w:val="both"/>
      </w:pPr>
    </w:p>
    <w:p w14:paraId="6BB6FAB2" w14:textId="018D8E5E" w:rsidR="00504A80" w:rsidRPr="00E736E3" w:rsidRDefault="00504A80" w:rsidP="00504A80">
      <w:pPr>
        <w:jc w:val="both"/>
      </w:pPr>
      <w:r>
        <w:t xml:space="preserve">A variety of </w:t>
      </w:r>
      <w:r w:rsidRPr="00E736E3">
        <w:t>activities</w:t>
      </w:r>
      <w:r>
        <w:t xml:space="preserve"> are eligible but</w:t>
      </w:r>
      <w:r w:rsidR="00166476">
        <w:t>, in addition to addressing local needs,</w:t>
      </w:r>
      <w:r>
        <w:t xml:space="preserve"> </w:t>
      </w:r>
      <w:r w:rsidR="00166476">
        <w:t xml:space="preserve">priority in funding will be given to projects that also </w:t>
      </w:r>
      <w:r w:rsidR="00D66BE0">
        <w:t xml:space="preserve">support the </w:t>
      </w:r>
      <w:r>
        <w:t>state priorities listed below</w:t>
      </w:r>
      <w:r w:rsidRPr="00E736E3">
        <w:t>:</w:t>
      </w:r>
    </w:p>
    <w:p w14:paraId="65BC77D2" w14:textId="77777777" w:rsidR="004E7BB5" w:rsidRDefault="004E7BB5" w:rsidP="00056B99">
      <w:pPr>
        <w:pStyle w:val="BodyText"/>
        <w:numPr>
          <w:ilvl w:val="0"/>
          <w:numId w:val="15"/>
        </w:numPr>
        <w:spacing w:before="120"/>
      </w:pPr>
      <w:r>
        <w:t>First Priority</w:t>
      </w:r>
    </w:p>
    <w:p w14:paraId="0A4DA88E" w14:textId="77777777" w:rsidR="00E034C1" w:rsidRDefault="00E034C1" w:rsidP="00056B99">
      <w:pPr>
        <w:pStyle w:val="BodyText"/>
        <w:numPr>
          <w:ilvl w:val="1"/>
          <w:numId w:val="15"/>
        </w:numPr>
      </w:pPr>
      <w:r>
        <w:t>Projects that impact economic development</w:t>
      </w:r>
      <w:r w:rsidR="00504A80">
        <w:t xml:space="preserve"> or increase economic competitiveness</w:t>
      </w:r>
      <w:r w:rsidR="009B4AAC">
        <w:t xml:space="preserve"> </w:t>
      </w:r>
    </w:p>
    <w:p w14:paraId="60480D53" w14:textId="77777777" w:rsidR="004E7BB5" w:rsidRDefault="004E7BB5" w:rsidP="00056B99">
      <w:pPr>
        <w:pStyle w:val="BodyText"/>
        <w:numPr>
          <w:ilvl w:val="0"/>
          <w:numId w:val="15"/>
        </w:numPr>
        <w:spacing w:before="120"/>
      </w:pPr>
      <w:r>
        <w:t>Second Priority</w:t>
      </w:r>
    </w:p>
    <w:p w14:paraId="47341CC4" w14:textId="77777777" w:rsidR="00D66BE0" w:rsidRDefault="00E034C1" w:rsidP="00056B99">
      <w:pPr>
        <w:pStyle w:val="BodyText"/>
        <w:numPr>
          <w:ilvl w:val="1"/>
          <w:numId w:val="15"/>
        </w:numPr>
      </w:pPr>
      <w:r>
        <w:t xml:space="preserve">Projects that </w:t>
      </w:r>
      <w:r w:rsidR="00504A80">
        <w:t>address public health and safety</w:t>
      </w:r>
      <w:r w:rsidR="001F376C">
        <w:t xml:space="preserve">, quality of life </w:t>
      </w:r>
      <w:r w:rsidR="009B4AAC">
        <w:t>or improve the long-term sustainability of the community</w:t>
      </w:r>
    </w:p>
    <w:p w14:paraId="35406F75" w14:textId="77777777" w:rsidR="004E7BB5" w:rsidRDefault="004E7BB5" w:rsidP="00056B99">
      <w:pPr>
        <w:pStyle w:val="BodyText"/>
        <w:numPr>
          <w:ilvl w:val="0"/>
          <w:numId w:val="15"/>
        </w:numPr>
        <w:spacing w:before="120"/>
      </w:pPr>
      <w:r>
        <w:t>Third Priority</w:t>
      </w:r>
    </w:p>
    <w:p w14:paraId="0400B6B2" w14:textId="77777777" w:rsidR="00504A80" w:rsidRDefault="00504A80" w:rsidP="00056B99">
      <w:pPr>
        <w:pStyle w:val="BodyText"/>
        <w:numPr>
          <w:ilvl w:val="1"/>
          <w:numId w:val="15"/>
        </w:numPr>
      </w:pPr>
      <w:r>
        <w:t xml:space="preserve">Projects that address </w:t>
      </w:r>
      <w:r w:rsidR="001F376C">
        <w:t>resiliency or help narrow the digital divide</w:t>
      </w:r>
    </w:p>
    <w:p w14:paraId="2A6D8050" w14:textId="77777777" w:rsidR="00E964A1" w:rsidRDefault="00E964A1" w:rsidP="00B761B1">
      <w:pPr>
        <w:pStyle w:val="BodyText"/>
      </w:pPr>
    </w:p>
    <w:p w14:paraId="45E05900" w14:textId="77777777" w:rsidR="00A72915" w:rsidRPr="00E736E3" w:rsidRDefault="00A72915" w:rsidP="00521DBA">
      <w:pPr>
        <w:pStyle w:val="Heading2B"/>
        <w:spacing w:before="240" w:after="240"/>
      </w:pPr>
      <w:bookmarkStart w:id="25" w:name="_Toc153828345"/>
      <w:r>
        <w:t>Ready to Go</w:t>
      </w:r>
      <w:bookmarkEnd w:id="25"/>
    </w:p>
    <w:p w14:paraId="4AC329F8" w14:textId="232C5284" w:rsidR="00A72915" w:rsidRPr="00E736E3" w:rsidRDefault="00A72915" w:rsidP="00A72915">
      <w:pPr>
        <w:pStyle w:val="Hdg3Font"/>
      </w:pPr>
      <w:r>
        <w:t>Funds Available</w:t>
      </w:r>
      <w:r>
        <w:rPr>
          <w:u w:val="none"/>
        </w:rPr>
        <w:t>:</w:t>
      </w:r>
      <w:r w:rsidRPr="00EA213E">
        <w:rPr>
          <w:u w:val="none"/>
        </w:rPr>
        <w:tab/>
      </w:r>
      <w:r>
        <w:rPr>
          <w:u w:val="none"/>
        </w:rPr>
        <w:t>$</w:t>
      </w:r>
      <w:r w:rsidR="4E6502B6">
        <w:rPr>
          <w:u w:val="none"/>
        </w:rPr>
        <w:t>5</w:t>
      </w:r>
      <w:r w:rsidR="008614AD">
        <w:rPr>
          <w:u w:val="none"/>
        </w:rPr>
        <w:t>00,000</w:t>
      </w:r>
    </w:p>
    <w:p w14:paraId="3C2DE82F" w14:textId="77777777" w:rsidR="00A72915" w:rsidRPr="00B060F0" w:rsidRDefault="00A72915" w:rsidP="00A72915"/>
    <w:p w14:paraId="48312BCA" w14:textId="77777777" w:rsidR="00A72915" w:rsidRPr="00E736E3" w:rsidRDefault="00A72915" w:rsidP="00A72915">
      <w:pPr>
        <w:pStyle w:val="Hdg3Font"/>
        <w:rPr>
          <w:szCs w:val="22"/>
        </w:rPr>
      </w:pPr>
      <w:r w:rsidRPr="00E736E3">
        <w:t>Grant Maximum</w:t>
      </w:r>
      <w:r w:rsidRPr="00E736E3">
        <w:rPr>
          <w:szCs w:val="22"/>
          <w:u w:val="none"/>
        </w:rPr>
        <w:t>:</w:t>
      </w:r>
      <w:r w:rsidRPr="00E736E3">
        <w:rPr>
          <w:szCs w:val="22"/>
          <w:u w:val="none"/>
        </w:rPr>
        <w:tab/>
        <w:t>$500,000</w:t>
      </w:r>
      <w:r w:rsidR="00F72A47">
        <w:rPr>
          <w:szCs w:val="22"/>
          <w:u w:val="none"/>
        </w:rPr>
        <w:t>*</w:t>
      </w:r>
    </w:p>
    <w:p w14:paraId="2169C09F" w14:textId="77777777" w:rsidR="00A72915" w:rsidRPr="00E736E3" w:rsidRDefault="00A72915" w:rsidP="00A72915">
      <w:pPr>
        <w:pStyle w:val="Hdg3Font"/>
        <w:spacing w:before="60"/>
      </w:pPr>
      <w:r w:rsidRPr="00E736E3">
        <w:t>Grant Minimum</w:t>
      </w:r>
      <w:r w:rsidRPr="00E736E3">
        <w:rPr>
          <w:szCs w:val="22"/>
          <w:u w:val="none"/>
        </w:rPr>
        <w:t>:</w:t>
      </w:r>
      <w:r w:rsidRPr="00E736E3">
        <w:rPr>
          <w:szCs w:val="22"/>
          <w:u w:val="none"/>
        </w:rPr>
        <w:tab/>
        <w:t>$50,000</w:t>
      </w:r>
    </w:p>
    <w:p w14:paraId="710F5E3D" w14:textId="77777777" w:rsidR="00A72915" w:rsidRDefault="00A72915" w:rsidP="00A72915">
      <w:pPr>
        <w:pStyle w:val="BodyText"/>
      </w:pPr>
    </w:p>
    <w:p w14:paraId="759F3920" w14:textId="77777777" w:rsidR="00F72A47" w:rsidRDefault="00F72A47" w:rsidP="00A72915">
      <w:pPr>
        <w:pStyle w:val="BodyText"/>
        <w:rPr>
          <w:szCs w:val="22"/>
        </w:rPr>
      </w:pPr>
      <w:r w:rsidRPr="00B1707B">
        <w:t xml:space="preserve">* Waivers of the grant maximum </w:t>
      </w:r>
      <w:r>
        <w:rPr>
          <w:szCs w:val="22"/>
        </w:rPr>
        <w:t xml:space="preserve">will be considered for infrastructure projects based on whether the project addresses an urgent and compelling need, regional solution, or system-wide improvements </w:t>
      </w:r>
      <w:r>
        <w:t>(i.e., treatment plant)</w:t>
      </w:r>
      <w:r>
        <w:rPr>
          <w:szCs w:val="22"/>
        </w:rPr>
        <w:t>, as well as the extent of leveraging and a reasonable CDBG cost (generally $1</w:t>
      </w:r>
      <w:r w:rsidR="00614AA2">
        <w:rPr>
          <w:szCs w:val="22"/>
        </w:rPr>
        <w:t>5</w:t>
      </w:r>
      <w:r>
        <w:rPr>
          <w:szCs w:val="22"/>
        </w:rPr>
        <w:t xml:space="preserve">,000 per household or less). A written waiver request explaining the rationale must be submitted for consideration with the application request. </w:t>
      </w:r>
    </w:p>
    <w:p w14:paraId="785F8146" w14:textId="77777777" w:rsidR="001C7FD3" w:rsidRDefault="001C7FD3" w:rsidP="00A72915">
      <w:pPr>
        <w:pStyle w:val="BodyText"/>
      </w:pPr>
    </w:p>
    <w:p w14:paraId="02EF55FE" w14:textId="77777777" w:rsidR="00A72915" w:rsidRPr="0033794B" w:rsidRDefault="00A72915" w:rsidP="00022DA2">
      <w:pPr>
        <w:pStyle w:val="Hdg3Font"/>
        <w:spacing w:after="60"/>
      </w:pPr>
      <w:r w:rsidRPr="0033794B">
        <w:t>Outcome</w:t>
      </w:r>
    </w:p>
    <w:p w14:paraId="32C2929E" w14:textId="18464638" w:rsidR="008B3B82" w:rsidRDefault="00A72915" w:rsidP="003B0513">
      <w:pPr>
        <w:pStyle w:val="BodyText"/>
      </w:pPr>
      <w:r>
        <w:t xml:space="preserve">This program is designed to </w:t>
      </w:r>
      <w:r w:rsidR="00A83CC5">
        <w:t xml:space="preserve">stimulate the local economy </w:t>
      </w:r>
      <w:r w:rsidR="7CBD4E39">
        <w:t xml:space="preserve">or address </w:t>
      </w:r>
      <w:r w:rsidR="00975601">
        <w:t>urgent or compelling</w:t>
      </w:r>
      <w:r w:rsidR="009D0E98">
        <w:t xml:space="preserve"> community needs</w:t>
      </w:r>
      <w:r w:rsidR="4FC6C62C">
        <w:t xml:space="preserve">. </w:t>
      </w:r>
      <w:r w:rsidR="7B2116FA" w:rsidRPr="6C388AA2">
        <w:t>Funding may also be used for pilot projects which have been developed in coordination with, and have been approved by, the State CDBG Program</w:t>
      </w:r>
      <w:r w:rsidR="00EA213E">
        <w:t>.</w:t>
      </w:r>
      <w:r w:rsidR="009D0E98">
        <w:t xml:space="preserve"> </w:t>
      </w:r>
      <w:r w:rsidR="49E461EA">
        <w:t xml:space="preserve">The goal is </w:t>
      </w:r>
      <w:r w:rsidR="00A83CC5">
        <w:t xml:space="preserve">encouraging </w:t>
      </w:r>
      <w:r w:rsidR="50875C46">
        <w:t xml:space="preserve">innovation, </w:t>
      </w:r>
      <w:r w:rsidR="00A83CC5">
        <w:t xml:space="preserve">the timely implementation of </w:t>
      </w:r>
      <w:r w:rsidR="00E53E13">
        <w:t xml:space="preserve">CDBG </w:t>
      </w:r>
      <w:r w:rsidR="00A83CC5">
        <w:t xml:space="preserve">eligible </w:t>
      </w:r>
      <w:r w:rsidR="002C2C7E">
        <w:t>projects</w:t>
      </w:r>
      <w:r w:rsidR="00826DE3">
        <w:t>, and cost effective</w:t>
      </w:r>
      <w:r w:rsidR="6B162173">
        <w:t>ness</w:t>
      </w:r>
      <w:r w:rsidR="00A83CC5">
        <w:t xml:space="preserve">. </w:t>
      </w:r>
      <w:r w:rsidR="00E40C01">
        <w:t xml:space="preserve">The project requires an upfront investment of local </w:t>
      </w:r>
      <w:r w:rsidR="00C13BDA">
        <w:t xml:space="preserve">and other </w:t>
      </w:r>
      <w:r w:rsidR="00E40C01">
        <w:t>funds for planning, project design and permitting that is substantially equivalent to the required 10% local match.</w:t>
      </w:r>
    </w:p>
    <w:p w14:paraId="6D7F8AB8" w14:textId="77777777" w:rsidR="008B3B82" w:rsidRDefault="008B3B82" w:rsidP="00A72915">
      <w:pPr>
        <w:pStyle w:val="BodyText"/>
      </w:pPr>
    </w:p>
    <w:p w14:paraId="50F9A516" w14:textId="2A0932A4" w:rsidR="008B3B82" w:rsidRDefault="00A83CC5" w:rsidP="00A72915">
      <w:pPr>
        <w:pStyle w:val="BodyText"/>
      </w:pPr>
      <w:r>
        <w:t xml:space="preserve">The project must </w:t>
      </w:r>
      <w:r w:rsidR="008B3B82">
        <w:t>be an eligible</w:t>
      </w:r>
      <w:r w:rsidR="00975601">
        <w:t xml:space="preserve"> public facility</w:t>
      </w:r>
      <w:r w:rsidR="001E201D">
        <w:t xml:space="preserve"> improvement</w:t>
      </w:r>
      <w:r w:rsidR="008B3B82">
        <w:t xml:space="preserve"> u</w:t>
      </w:r>
      <w:r>
        <w:t>nder the Community Infrastructure</w:t>
      </w:r>
      <w:r w:rsidR="4C4EF3C6">
        <w:t xml:space="preserve">, </w:t>
      </w:r>
      <w:r>
        <w:t>Community Enrichment</w:t>
      </w:r>
      <w:r w:rsidR="07AAB257">
        <w:t>, or Local Priorities</w:t>
      </w:r>
      <w:r>
        <w:t xml:space="preserve"> program</w:t>
      </w:r>
      <w:r w:rsidR="007C6131">
        <w:t xml:space="preserve">. </w:t>
      </w:r>
      <w:r w:rsidR="008B3B82">
        <w:t>All required project activities leading up to bidding must be complete prior to submi</w:t>
      </w:r>
      <w:r w:rsidR="002E6BC6">
        <w:t>ssion of the application includ</w:t>
      </w:r>
      <w:r w:rsidR="008B3B82">
        <w:t>ing but not limited to: project design, environmental review,</w:t>
      </w:r>
      <w:r w:rsidR="00C843AF">
        <w:t xml:space="preserve"> acquisition and permits</w:t>
      </w:r>
      <w:r w:rsidR="008B3B82">
        <w:t>. CDBG funds may only be used for construction</w:t>
      </w:r>
      <w:r w:rsidR="00CA29E9">
        <w:t xml:space="preserve"> or demolition</w:t>
      </w:r>
      <w:r w:rsidR="008B3B82">
        <w:t xml:space="preserve">. </w:t>
      </w:r>
      <w:r w:rsidR="00CA29E9">
        <w:t xml:space="preserve"> Brownfields projects may be considered if significant upfront investment of local funds has been made</w:t>
      </w:r>
      <w:r w:rsidR="004A22F4">
        <w:t xml:space="preserve"> and all other program requirements are met (including voluntary clean up contract (VCC) with DHEC and local government ownership)</w:t>
      </w:r>
      <w:r w:rsidR="00CA29E9">
        <w:t xml:space="preserve">.  </w:t>
      </w:r>
      <w:r w:rsidR="008B3B82">
        <w:t xml:space="preserve">Local and other funds must be used for pre-bid activities and will </w:t>
      </w:r>
      <w:r w:rsidR="009D0E98">
        <w:t>count toward</w:t>
      </w:r>
      <w:r w:rsidR="008B3B82">
        <w:t xml:space="preserve"> the match requirements of the program. Projects must be </w:t>
      </w:r>
      <w:r w:rsidR="00C843AF">
        <w:t>advertised for</w:t>
      </w:r>
      <w:r w:rsidR="008B3B82">
        <w:t xml:space="preserve"> bid within 60 days of grant award. </w:t>
      </w:r>
    </w:p>
    <w:p w14:paraId="143F1ABB" w14:textId="77777777" w:rsidR="00D33C2B" w:rsidRDefault="00D33C2B" w:rsidP="00A72915">
      <w:pPr>
        <w:pStyle w:val="BodyText"/>
      </w:pPr>
    </w:p>
    <w:p w14:paraId="53F13453" w14:textId="77777777" w:rsidR="00184EBD" w:rsidRDefault="00521E33" w:rsidP="00276751">
      <w:pPr>
        <w:pStyle w:val="BodyText"/>
      </w:pPr>
      <w:r w:rsidRPr="00D77348">
        <w:t xml:space="preserve">Applications will be accepted </w:t>
      </w:r>
      <w:r>
        <w:t>on an ongoing basis</w:t>
      </w:r>
      <w:r w:rsidRPr="00D77348">
        <w:t xml:space="preserve"> and funding will occur throughout the year, based on funding availability, when all application documentation has been received. </w:t>
      </w:r>
      <w:r>
        <w:t xml:space="preserve">No grant award will be made until evidence is submitted that all pre-bid activities are complete. Projects will be reviewed using the non comparative scoring factors as listed in the Community </w:t>
      </w:r>
      <w:r>
        <w:lastRenderedPageBreak/>
        <w:t>Development Program Selection Criteria section. The project must obtain a minimum score of 1</w:t>
      </w:r>
      <w:r w:rsidR="002C2C7E">
        <w:t>5</w:t>
      </w:r>
      <w:r>
        <w:t xml:space="preserve">0 points to be considered eligible for funding. In the event there are more eligible applications </w:t>
      </w:r>
      <w:r w:rsidR="009438AB">
        <w:t xml:space="preserve">submitted during the same time </w:t>
      </w:r>
      <w:r>
        <w:t>than funds available, the highest scoring eligible projects will be funded</w:t>
      </w:r>
      <w:r w:rsidR="00A26A62">
        <w:t>.</w:t>
      </w:r>
      <w:r w:rsidR="00C13BDA">
        <w:t xml:space="preserve"> </w:t>
      </w:r>
      <w:r w:rsidR="00452535">
        <w:t>A</w:t>
      </w:r>
      <w:r w:rsidR="00C13BDA">
        <w:t>pplication</w:t>
      </w:r>
      <w:r w:rsidR="00261657">
        <w:t xml:space="preserve"> requests</w:t>
      </w:r>
      <w:r w:rsidR="001D5D8E">
        <w:t xml:space="preserve"> </w:t>
      </w:r>
      <w:r w:rsidR="00261657">
        <w:t>that do</w:t>
      </w:r>
      <w:r w:rsidR="00452535">
        <w:t xml:space="preserve"> not </w:t>
      </w:r>
      <w:r w:rsidR="00261657">
        <w:t>meet all program requirements</w:t>
      </w:r>
      <w:r w:rsidR="001D5D8E">
        <w:t xml:space="preserve"> may be considered in th</w:t>
      </w:r>
      <w:r w:rsidR="00452535">
        <w:t>e appropriate</w:t>
      </w:r>
      <w:r w:rsidR="00C13BDA">
        <w:t xml:space="preserve"> competitive program.</w:t>
      </w:r>
    </w:p>
    <w:p w14:paraId="67713D6D" w14:textId="77777777" w:rsidR="006D0F4B" w:rsidRDefault="006D0F4B" w:rsidP="00276751">
      <w:pPr>
        <w:pStyle w:val="BodyText"/>
      </w:pPr>
    </w:p>
    <w:p w14:paraId="7E4E604D" w14:textId="7ECD23B6" w:rsidR="00AF276A" w:rsidRDefault="00AF276A" w:rsidP="00AF276A">
      <w:pPr>
        <w:pStyle w:val="BodyText"/>
      </w:pPr>
      <w:r>
        <w:t xml:space="preserve">In the event of a state or federally declared disaster, applications for eligible public facilities and infrastructure that are not ready to go will be considered and </w:t>
      </w:r>
      <w:r w:rsidRPr="008762B3">
        <w:t>eligible local governments will be notified of the availability of funds. Application requests will</w:t>
      </w:r>
      <w:r>
        <w:t xml:space="preserve"> be accepted on a first come, first served basis.  Projects will be reviewed using the </w:t>
      </w:r>
      <w:r w:rsidR="00455D1D">
        <w:t>non-comparative</w:t>
      </w:r>
      <w:r>
        <w:t xml:space="preserve"> scoring factors as listed in the Community Development Program Selection Criteria section. The project must obtain a minimum score of 150 points to be considered eligible for funding. In the event there are more eligible applications submitted during the same time than funds available, the highest scoring eligible projects will be funded. </w:t>
      </w:r>
    </w:p>
    <w:p w14:paraId="1FD164C8" w14:textId="77777777" w:rsidR="00E034C1" w:rsidRDefault="00E034C1" w:rsidP="00276751">
      <w:pPr>
        <w:pStyle w:val="BodyText"/>
      </w:pPr>
    </w:p>
    <w:p w14:paraId="3F141B68" w14:textId="77777777" w:rsidR="00D75B68" w:rsidRDefault="00D75B68" w:rsidP="00276751">
      <w:pPr>
        <w:pStyle w:val="BodyText"/>
      </w:pPr>
    </w:p>
    <w:p w14:paraId="016C3AF4" w14:textId="77777777" w:rsidR="00184EBD" w:rsidRDefault="00184EBD" w:rsidP="00C15605">
      <w:pPr>
        <w:pStyle w:val="Heading2CnotinTOC"/>
      </w:pPr>
      <w:r>
        <w:t>Community Development Program Requirements</w:t>
      </w:r>
    </w:p>
    <w:p w14:paraId="301E51C6" w14:textId="77777777" w:rsidR="00184EBD" w:rsidRDefault="00184EBD" w:rsidP="00C466C4">
      <w:pPr>
        <w:pStyle w:val="BodyText"/>
      </w:pPr>
      <w:r>
        <w:t xml:space="preserve">A unit of local government, filing individually or </w:t>
      </w:r>
      <w:r w:rsidR="00AD7241">
        <w:t>as a lead applicant</w:t>
      </w:r>
      <w:r>
        <w:t xml:space="preserve">, may submit only one application per Community Development Program </w:t>
      </w:r>
      <w:r w:rsidR="00B8068C">
        <w:t>c</w:t>
      </w:r>
      <w:r>
        <w:t xml:space="preserve">ategory. </w:t>
      </w:r>
      <w:r w:rsidR="00CA29E9">
        <w:t xml:space="preserve">Depending on the program, </w:t>
      </w:r>
      <w:r>
        <w:t>Community Development Program project may consist of one primary activity and associated activities as appropriate and necessary to implement the primary activity in one or more eligible target areas</w:t>
      </w:r>
      <w:r w:rsidR="00B8068C">
        <w:t>,</w:t>
      </w:r>
      <w:r>
        <w:t xml:space="preserve"> or a project may consist of multiple activities which address priority needs in one defined LMI neighborhood or target area.</w:t>
      </w:r>
    </w:p>
    <w:p w14:paraId="1633D613" w14:textId="77777777" w:rsidR="00E964A1" w:rsidRDefault="00E964A1" w:rsidP="00C466C4">
      <w:pPr>
        <w:pStyle w:val="BodyText"/>
      </w:pPr>
    </w:p>
    <w:p w14:paraId="5DA85E45" w14:textId="001E1259" w:rsidR="00184EBD" w:rsidRDefault="00184EBD" w:rsidP="00C466C4">
      <w:pPr>
        <w:pStyle w:val="BodyText"/>
      </w:pPr>
      <w:r w:rsidRPr="00FA31B5">
        <w:t xml:space="preserve">The grant award limits for each category may be waived at the discretion of </w:t>
      </w:r>
      <w:bookmarkStart w:id="26" w:name="_Hlk153827730"/>
      <w:r w:rsidR="00483A1D">
        <w:t>the State CDBG Program</w:t>
      </w:r>
      <w:bookmarkEnd w:id="26"/>
      <w:r w:rsidR="00483A1D">
        <w:t xml:space="preserve"> </w:t>
      </w:r>
      <w:r w:rsidRPr="00FA31B5">
        <w:t xml:space="preserve">in order to provide the level of assistance required where other resources are not reasonably available to the unit of local government to address the need in a timely manner or where </w:t>
      </w:r>
      <w:r w:rsidR="00483A1D">
        <w:t>the State CDBG Program</w:t>
      </w:r>
      <w:r w:rsidR="00483A1D" w:rsidRPr="00FA31B5">
        <w:t xml:space="preserve"> </w:t>
      </w:r>
      <w:r w:rsidRPr="00FA31B5">
        <w:t>determines the amount is necessary and appropriate to achieve the State's CDBG Program objectives.</w:t>
      </w:r>
    </w:p>
    <w:p w14:paraId="1F356A94" w14:textId="77777777" w:rsidR="007B56E5" w:rsidRDefault="007B56E5" w:rsidP="00C466C4">
      <w:pPr>
        <w:pStyle w:val="BodyText"/>
      </w:pPr>
    </w:p>
    <w:p w14:paraId="5F4661F7" w14:textId="77777777" w:rsidR="00184EBD" w:rsidRPr="00022DA2" w:rsidRDefault="00184EBD" w:rsidP="00521DBA">
      <w:pPr>
        <w:pStyle w:val="Heading3ProgramSection"/>
        <w:spacing w:before="120" w:after="120"/>
      </w:pPr>
      <w:r w:rsidRPr="00022DA2">
        <w:t>Performance Threshold</w:t>
      </w:r>
    </w:p>
    <w:p w14:paraId="2C1E485E" w14:textId="7832F205" w:rsidR="006C24FC" w:rsidRDefault="00184EBD" w:rsidP="006C24FC">
      <w:pPr>
        <w:pStyle w:val="BodyText"/>
      </w:pPr>
      <w:r>
        <w:t xml:space="preserve">As a performance-based incentive, a unit of local government can apply for an additional Community Development grant if it has no more than </w:t>
      </w:r>
      <w:r w:rsidR="00A36F2C">
        <w:t xml:space="preserve">two </w:t>
      </w:r>
      <w:r>
        <w:t>open CDBG grant</w:t>
      </w:r>
      <w:r w:rsidR="00A36F2C">
        <w:t>s</w:t>
      </w:r>
      <w:r>
        <w:t xml:space="preserve"> (excluding Business Development or </w:t>
      </w:r>
      <w:r w:rsidR="003C5074">
        <w:t xml:space="preserve">Regional </w:t>
      </w:r>
      <w:r>
        <w:t xml:space="preserve">Planning </w:t>
      </w:r>
      <w:r w:rsidR="00B8068C">
        <w:t>g</w:t>
      </w:r>
      <w:r>
        <w:t>rants). However, the open grant</w:t>
      </w:r>
      <w:r w:rsidR="00A36F2C">
        <w:t>s</w:t>
      </w:r>
      <w:r>
        <w:t xml:space="preserve"> must not have exceeded </w:t>
      </w:r>
      <w:r w:rsidR="00A36F2C">
        <w:t xml:space="preserve">a </w:t>
      </w:r>
      <w:r w:rsidR="002C2C7E">
        <w:t>30 month</w:t>
      </w:r>
      <w:r>
        <w:t xml:space="preserve"> grant period</w:t>
      </w:r>
      <w:r w:rsidR="00A36F2C">
        <w:t>.</w:t>
      </w:r>
      <w:r>
        <w:t xml:space="preserve"> </w:t>
      </w:r>
      <w:r w:rsidR="006C24FC">
        <w:t>Additionally, a grantee may only have one open streetscape project.</w:t>
      </w:r>
    </w:p>
    <w:p w14:paraId="20CAF90B" w14:textId="77777777" w:rsidR="002248A9" w:rsidRDefault="002248A9" w:rsidP="00C466C4">
      <w:pPr>
        <w:pStyle w:val="BodyText"/>
      </w:pPr>
    </w:p>
    <w:p w14:paraId="25C0EBFF" w14:textId="0B8F4A59" w:rsidR="00DC14E1" w:rsidRDefault="00184EBD" w:rsidP="00C466C4">
      <w:pPr>
        <w:pStyle w:val="BodyText"/>
      </w:pPr>
      <w:r>
        <w:t>For threshold purposes, a grant is considered open if it is not programmatically closed at the time of application submission.</w:t>
      </w:r>
      <w:r w:rsidR="00C843AF">
        <w:t xml:space="preserve"> The applicant must submit a request for waiver</w:t>
      </w:r>
      <w:r w:rsidR="00153BDC">
        <w:t xml:space="preserve"> prior to or with the application request.</w:t>
      </w:r>
      <w:r>
        <w:t xml:space="preserve"> </w:t>
      </w:r>
      <w:r w:rsidR="00153BDC">
        <w:t>A</w:t>
      </w:r>
      <w:r w:rsidR="00DE0205">
        <w:t xml:space="preserve">t the discretion of </w:t>
      </w:r>
      <w:r w:rsidR="00483A1D">
        <w:t>the State CDBG Program</w:t>
      </w:r>
      <w:r w:rsidR="00DE0205">
        <w:t>,</w:t>
      </w:r>
      <w:r w:rsidR="00153BDC">
        <w:t xml:space="preserve"> </w:t>
      </w:r>
      <w:r w:rsidR="00DE0205">
        <w:t xml:space="preserve">a </w:t>
      </w:r>
      <w:r>
        <w:t xml:space="preserve">performance threshold </w:t>
      </w:r>
      <w:r w:rsidR="00153BDC">
        <w:t xml:space="preserve">waiver </w:t>
      </w:r>
      <w:r w:rsidR="00DE0205">
        <w:t>may</w:t>
      </w:r>
      <w:r w:rsidR="003C5074">
        <w:t xml:space="preserve"> be considered </w:t>
      </w:r>
      <w:r w:rsidR="00A36F2C">
        <w:t xml:space="preserve">only </w:t>
      </w:r>
      <w:r w:rsidR="00DC14E1">
        <w:t>for the following reasons:</w:t>
      </w:r>
    </w:p>
    <w:p w14:paraId="752A56AC" w14:textId="77777777" w:rsidR="00A36F2C" w:rsidRDefault="00A36F2C" w:rsidP="00521DBA">
      <w:pPr>
        <w:pStyle w:val="BulletedMultilinespbeforeafter"/>
        <w:spacing w:before="240"/>
      </w:pPr>
      <w:r>
        <w:t>There is an urgent or compelling need for immediate assistance, such as an imminent health threat to the public</w:t>
      </w:r>
      <w:r w:rsidR="00325342">
        <w:t xml:space="preserve"> or a state or federally declared disaster</w:t>
      </w:r>
      <w:r>
        <w:t>, or</w:t>
      </w:r>
    </w:p>
    <w:p w14:paraId="744BF7CC" w14:textId="77777777" w:rsidR="00DC14E1" w:rsidRDefault="00DC14E1" w:rsidP="00521DBA">
      <w:pPr>
        <w:pStyle w:val="BulletedMultilinespbeforeafter"/>
        <w:spacing w:before="240"/>
      </w:pPr>
      <w:r>
        <w:t>I</w:t>
      </w:r>
      <w:r w:rsidR="00184EBD">
        <w:t>t is determined that lack of performance on an open grant is due to unavoidable circumstances or conditions beyond the control of the local government</w:t>
      </w:r>
      <w:r w:rsidR="00A36F2C">
        <w:t>. If problems are determined to be administrative, the local government may be allowed to apply if a different grant administrator is responsible for the new application/project.</w:t>
      </w:r>
    </w:p>
    <w:p w14:paraId="216E3BEE" w14:textId="77777777" w:rsidR="00184EBD" w:rsidRDefault="00184EBD" w:rsidP="00C466C4">
      <w:pPr>
        <w:pStyle w:val="BodyText"/>
      </w:pPr>
      <w:r>
        <w:lastRenderedPageBreak/>
        <w:t xml:space="preserve">A unit of local government may not apply for Community Development funds if it has </w:t>
      </w:r>
      <w:r>
        <w:rPr>
          <w:u w:val="single"/>
        </w:rPr>
        <w:t>any</w:t>
      </w:r>
      <w:r>
        <w:t xml:space="preserve"> open grant </w:t>
      </w:r>
      <w:r w:rsidRPr="00AF6D01">
        <w:t>which has not been programmatically closed</w:t>
      </w:r>
      <w:r>
        <w:t xml:space="preserve"> due to the local government's lack of compliance </w:t>
      </w:r>
      <w:r w:rsidR="00DC14E1">
        <w:t>with significant programmatic or financial</w:t>
      </w:r>
      <w:r>
        <w:t xml:space="preserve"> requirements of the program</w:t>
      </w:r>
      <w:r w:rsidR="00DC14E1">
        <w:t xml:space="preserve">. A grant may not be awarded to a local government which has a serious, outstanding audit or monitoring finding involving the potential for significant monetary restitution or non-responsiveness on </w:t>
      </w:r>
      <w:r w:rsidR="00DC14E1">
        <w:rPr>
          <w:u w:val="single"/>
        </w:rPr>
        <w:t>any</w:t>
      </w:r>
      <w:r w:rsidR="00DC14E1">
        <w:t xml:space="preserve"> previously funded CDBG grant. </w:t>
      </w:r>
    </w:p>
    <w:p w14:paraId="1CFDE5D1" w14:textId="77777777" w:rsidR="00184EBD" w:rsidRDefault="00184EBD" w:rsidP="00C466C4">
      <w:pPr>
        <w:pStyle w:val="BodyText"/>
      </w:pPr>
    </w:p>
    <w:p w14:paraId="536639EC" w14:textId="77777777" w:rsidR="007B56E5" w:rsidRPr="00156BE8" w:rsidRDefault="007B56E5" w:rsidP="00C466C4">
      <w:pPr>
        <w:pStyle w:val="BodyText"/>
        <w:rPr>
          <w:sz w:val="2"/>
          <w:szCs w:val="2"/>
        </w:rPr>
      </w:pPr>
    </w:p>
    <w:p w14:paraId="13C8F904" w14:textId="77777777" w:rsidR="00184EBD" w:rsidRPr="00022DA2" w:rsidRDefault="00184EBD" w:rsidP="00521DBA">
      <w:pPr>
        <w:pStyle w:val="Heading3ProgramSection"/>
        <w:spacing w:before="120" w:after="120"/>
      </w:pPr>
      <w:r w:rsidRPr="00022DA2">
        <w:t>Application Requests and Deadlines</w:t>
      </w:r>
    </w:p>
    <w:p w14:paraId="2005BF9C" w14:textId="71A45BCF" w:rsidR="00184EBD" w:rsidRDefault="00184EBD" w:rsidP="00C466C4">
      <w:pPr>
        <w:pStyle w:val="BodyText"/>
      </w:pPr>
      <w:r>
        <w:t xml:space="preserve">Units of local government that are interested in applying for Community Development Programs must request an application from </w:t>
      </w:r>
      <w:r w:rsidR="00483A1D">
        <w:t>the State CDBG Program</w:t>
      </w:r>
      <w:r>
        <w:t xml:space="preserve"> and provide a brief, written description of the proposed project, the proposed number of beneficiaries and an estimate of the percentage of beneficiaries who are LMI (if appropriate), the project location and map, total project costs, all funding sources, the amount of CDBG funds to be requested, and th</w:t>
      </w:r>
      <w:r w:rsidR="00276751">
        <w:t xml:space="preserve">e proposed use of such funds. </w:t>
      </w:r>
      <w:r>
        <w:t xml:space="preserve">Signed application requests must be submitted by the chief elected or administrative official of the unit of local government </w:t>
      </w:r>
      <w:r w:rsidR="003E39C7">
        <w:t>by the</w:t>
      </w:r>
      <w:r>
        <w:t xml:space="preserve"> </w:t>
      </w:r>
      <w:r w:rsidR="003E39C7">
        <w:t xml:space="preserve">application request </w:t>
      </w:r>
      <w:r>
        <w:t xml:space="preserve">due date. </w:t>
      </w:r>
      <w:r w:rsidR="003E39C7">
        <w:t>Application r</w:t>
      </w:r>
      <w:r>
        <w:t xml:space="preserve">equests will be reviewed to determine whether the proposed project appears to meet eligibility, national objective and threshold requirements. </w:t>
      </w:r>
      <w:r w:rsidR="00483A1D">
        <w:t>The State CDBG Program</w:t>
      </w:r>
      <w:r>
        <w:t xml:space="preserve"> may request a meeting with the potential applicant or conduct a site visit to determine eligibility and feasibility prior to mailing an application.</w:t>
      </w:r>
    </w:p>
    <w:p w14:paraId="17947D25" w14:textId="77777777" w:rsidR="00976AC8" w:rsidRDefault="00976AC8" w:rsidP="00976AC8"/>
    <w:p w14:paraId="3691B422" w14:textId="05539593" w:rsidR="00292684" w:rsidRDefault="00292684" w:rsidP="00292684">
      <w:pPr>
        <w:pStyle w:val="BodyText"/>
        <w:keepNext/>
      </w:pPr>
      <w:r>
        <w:t xml:space="preserve">CDBG application-related deadlines for the </w:t>
      </w:r>
      <w:r w:rsidR="00D20BF7">
        <w:t>2024</w:t>
      </w:r>
      <w:r w:rsidR="0085376E">
        <w:t>-2025</w:t>
      </w:r>
      <w:r w:rsidR="00C07999">
        <w:t xml:space="preserve"> </w:t>
      </w:r>
      <w:r>
        <w:t>Program Year are:</w:t>
      </w:r>
    </w:p>
    <w:p w14:paraId="0EB83EF7" w14:textId="77777777" w:rsidR="006E41F8" w:rsidRDefault="006E41F8" w:rsidP="00292684">
      <w:pPr>
        <w:pStyle w:val="BodyText"/>
        <w:keepNext/>
      </w:pPr>
    </w:p>
    <w:p w14:paraId="4D544F90" w14:textId="77777777" w:rsidR="00184EBD" w:rsidRPr="00B663C4" w:rsidRDefault="00D01300" w:rsidP="006D0F4B">
      <w:pPr>
        <w:pStyle w:val="BulletHeader"/>
        <w:keepNext/>
        <w:tabs>
          <w:tab w:val="clear" w:pos="1080"/>
          <w:tab w:val="num" w:pos="720"/>
        </w:tabs>
        <w:ind w:hanging="360"/>
        <w:rPr>
          <w:rFonts w:ascii="Arial" w:hAnsi="Arial" w:cs="Arial"/>
          <w:sz w:val="22"/>
          <w:szCs w:val="22"/>
          <w:u w:val="single"/>
        </w:rPr>
      </w:pPr>
      <w:r w:rsidRPr="00B663C4">
        <w:rPr>
          <w:rFonts w:ascii="Arial" w:hAnsi="Arial" w:cs="Arial"/>
          <w:sz w:val="22"/>
          <w:szCs w:val="22"/>
          <w:u w:val="single"/>
        </w:rPr>
        <w:t xml:space="preserve">Community Infrastructure </w:t>
      </w:r>
    </w:p>
    <w:p w14:paraId="367D2C3E" w14:textId="502B43EA" w:rsidR="00184EBD" w:rsidRPr="00141E65" w:rsidRDefault="00184EBD" w:rsidP="00C466C4">
      <w:pPr>
        <w:pStyle w:val="BulletIndent-noBullet"/>
      </w:pPr>
      <w:r w:rsidRPr="00C466C4">
        <w:t>Application Requests due:</w:t>
      </w:r>
      <w:r w:rsidRPr="00C466C4">
        <w:tab/>
      </w:r>
      <w:r w:rsidRPr="00141E65">
        <w:rPr>
          <w:b/>
        </w:rPr>
        <w:t xml:space="preserve">March </w:t>
      </w:r>
      <w:r w:rsidR="00E17850">
        <w:rPr>
          <w:b/>
        </w:rPr>
        <w:t>22</w:t>
      </w:r>
      <w:r w:rsidR="0085376E">
        <w:rPr>
          <w:b/>
        </w:rPr>
        <w:t>, 2024</w:t>
      </w:r>
      <w:r w:rsidR="008F16F9" w:rsidRPr="00141E65">
        <w:rPr>
          <w:b/>
        </w:rPr>
        <w:t xml:space="preserve"> </w:t>
      </w:r>
      <w:r w:rsidRPr="00141E65">
        <w:rPr>
          <w:b/>
        </w:rPr>
        <w:t>at 5:00 p.m.</w:t>
      </w:r>
    </w:p>
    <w:p w14:paraId="7B1713B2" w14:textId="2D0AFA47" w:rsidR="00184EBD" w:rsidRDefault="00184EBD" w:rsidP="00C466C4">
      <w:pPr>
        <w:pStyle w:val="BulletIndent-noBullet"/>
        <w:rPr>
          <w:b/>
        </w:rPr>
      </w:pPr>
      <w:r w:rsidRPr="00141E65">
        <w:t>Applications due:</w:t>
      </w:r>
      <w:r w:rsidR="00C466C4" w:rsidRPr="00141E65">
        <w:tab/>
      </w:r>
      <w:r w:rsidR="00242DB1" w:rsidRPr="00141E65">
        <w:rPr>
          <w:b/>
        </w:rPr>
        <w:t xml:space="preserve">April </w:t>
      </w:r>
      <w:r w:rsidR="00E17850">
        <w:rPr>
          <w:b/>
        </w:rPr>
        <w:t>22</w:t>
      </w:r>
      <w:r w:rsidR="0085376E">
        <w:rPr>
          <w:b/>
        </w:rPr>
        <w:t>, 2024</w:t>
      </w:r>
      <w:r w:rsidR="00EA213E">
        <w:rPr>
          <w:b/>
        </w:rPr>
        <w:t xml:space="preserve"> </w:t>
      </w:r>
      <w:r w:rsidRPr="00C466C4">
        <w:rPr>
          <w:b/>
        </w:rPr>
        <w:t>at 5:00 p.m.</w:t>
      </w:r>
    </w:p>
    <w:p w14:paraId="3F5B9750" w14:textId="77777777" w:rsidR="00AD7705" w:rsidRDefault="00AD7705" w:rsidP="00C466C4">
      <w:pPr>
        <w:pStyle w:val="BulletIndent-noBullet"/>
      </w:pPr>
    </w:p>
    <w:p w14:paraId="37C8B772" w14:textId="78071DD8" w:rsidR="00184EBD" w:rsidRPr="00141E65" w:rsidRDefault="00184EBD" w:rsidP="006D0F4B">
      <w:pPr>
        <w:pStyle w:val="BulletHeader"/>
        <w:tabs>
          <w:tab w:val="clear" w:pos="1080"/>
          <w:tab w:val="num" w:pos="720"/>
        </w:tabs>
        <w:spacing w:before="120"/>
        <w:ind w:hanging="360"/>
        <w:rPr>
          <w:rFonts w:ascii="Arial" w:hAnsi="Arial" w:cs="Arial"/>
          <w:sz w:val="22"/>
          <w:szCs w:val="22"/>
          <w:u w:val="single"/>
          <w:lang w:val="en-US"/>
        </w:rPr>
      </w:pPr>
      <w:r w:rsidRPr="00B663C4">
        <w:rPr>
          <w:rFonts w:ascii="Arial" w:hAnsi="Arial" w:cs="Arial"/>
          <w:sz w:val="22"/>
          <w:szCs w:val="22"/>
          <w:u w:val="single"/>
        </w:rPr>
        <w:t>Community Enrichment</w:t>
      </w:r>
      <w:r w:rsidR="00483A1D">
        <w:rPr>
          <w:rFonts w:ascii="Arial" w:hAnsi="Arial" w:cs="Arial"/>
          <w:sz w:val="22"/>
          <w:szCs w:val="22"/>
          <w:u w:val="single"/>
          <w:lang w:val="en-US"/>
        </w:rPr>
        <w:t xml:space="preserve"> </w:t>
      </w:r>
      <w:r w:rsidR="00B72F14">
        <w:rPr>
          <w:rFonts w:ascii="Arial" w:hAnsi="Arial" w:cs="Arial"/>
          <w:sz w:val="22"/>
          <w:szCs w:val="22"/>
          <w:u w:val="single"/>
          <w:lang w:val="en-US"/>
        </w:rPr>
        <w:t xml:space="preserve">and </w:t>
      </w:r>
      <w:r w:rsidR="00614AA2">
        <w:rPr>
          <w:rFonts w:ascii="Arial" w:hAnsi="Arial" w:cs="Arial"/>
          <w:sz w:val="22"/>
          <w:szCs w:val="22"/>
          <w:u w:val="single"/>
          <w:lang w:val="en-US"/>
        </w:rPr>
        <w:t>Local Priorities</w:t>
      </w:r>
    </w:p>
    <w:p w14:paraId="2A327305" w14:textId="7CAAA7CF" w:rsidR="00184EBD" w:rsidRPr="00141E65" w:rsidRDefault="00184EBD" w:rsidP="00C466C4">
      <w:pPr>
        <w:pStyle w:val="BulletIndent-noBullet"/>
      </w:pPr>
      <w:r>
        <w:t>Application Requests due:</w:t>
      </w:r>
      <w:r w:rsidR="00C466C4">
        <w:tab/>
      </w:r>
      <w:r w:rsidRPr="00141E65">
        <w:rPr>
          <w:b/>
        </w:rPr>
        <w:t xml:space="preserve">August </w:t>
      </w:r>
      <w:r w:rsidR="0085376E">
        <w:rPr>
          <w:b/>
        </w:rPr>
        <w:t>1</w:t>
      </w:r>
      <w:r w:rsidR="00BF33CE">
        <w:rPr>
          <w:b/>
        </w:rPr>
        <w:t>6</w:t>
      </w:r>
      <w:r w:rsidR="0085376E">
        <w:rPr>
          <w:b/>
        </w:rPr>
        <w:t>,</w:t>
      </w:r>
      <w:r w:rsidR="00BF33CE">
        <w:rPr>
          <w:b/>
        </w:rPr>
        <w:t xml:space="preserve"> </w:t>
      </w:r>
      <w:r w:rsidR="0085376E">
        <w:rPr>
          <w:b/>
        </w:rPr>
        <w:t>2024</w:t>
      </w:r>
      <w:r w:rsidR="008F16F9" w:rsidRPr="00141E65">
        <w:rPr>
          <w:b/>
        </w:rPr>
        <w:t xml:space="preserve"> </w:t>
      </w:r>
      <w:r w:rsidRPr="00141E65">
        <w:rPr>
          <w:b/>
        </w:rPr>
        <w:t>at 5:00 p.m.</w:t>
      </w:r>
    </w:p>
    <w:p w14:paraId="6C736227" w14:textId="64A12FC0" w:rsidR="00184EBD" w:rsidRDefault="00184EBD" w:rsidP="00C466C4">
      <w:pPr>
        <w:pStyle w:val="BulletIndent-noBullet"/>
        <w:rPr>
          <w:b/>
        </w:rPr>
      </w:pPr>
      <w:r w:rsidRPr="00141E65">
        <w:t>Applications due:</w:t>
      </w:r>
      <w:r w:rsidR="00C466C4" w:rsidRPr="00141E65">
        <w:tab/>
      </w:r>
      <w:r w:rsidR="008F6B10" w:rsidRPr="00141E65">
        <w:rPr>
          <w:b/>
        </w:rPr>
        <w:t>September</w:t>
      </w:r>
      <w:r w:rsidR="00651051">
        <w:rPr>
          <w:b/>
        </w:rPr>
        <w:t xml:space="preserve"> </w:t>
      </w:r>
      <w:r w:rsidR="0085376E">
        <w:rPr>
          <w:b/>
        </w:rPr>
        <w:t>1</w:t>
      </w:r>
      <w:r w:rsidR="00BF33CE">
        <w:rPr>
          <w:b/>
        </w:rPr>
        <w:t xml:space="preserve">6, </w:t>
      </w:r>
      <w:r w:rsidR="0085376E">
        <w:rPr>
          <w:b/>
        </w:rPr>
        <w:t>2024</w:t>
      </w:r>
      <w:r w:rsidR="0085376E" w:rsidRPr="00141E65">
        <w:rPr>
          <w:b/>
        </w:rPr>
        <w:t xml:space="preserve"> </w:t>
      </w:r>
      <w:r w:rsidRPr="00141E65">
        <w:rPr>
          <w:b/>
        </w:rPr>
        <w:t>at</w:t>
      </w:r>
      <w:r w:rsidRPr="00C466C4">
        <w:rPr>
          <w:b/>
        </w:rPr>
        <w:t xml:space="preserve"> 5:00 p.m.</w:t>
      </w:r>
    </w:p>
    <w:p w14:paraId="21895C1E" w14:textId="77777777" w:rsidR="006D0F4B" w:rsidRDefault="006D0F4B" w:rsidP="00184EBD">
      <w:pPr>
        <w:jc w:val="both"/>
        <w:rPr>
          <w:u w:val="single"/>
        </w:rPr>
      </w:pPr>
    </w:p>
    <w:p w14:paraId="2D9FBEBF" w14:textId="77777777" w:rsidR="00521DBA" w:rsidRDefault="00521DBA" w:rsidP="00184EBD">
      <w:pPr>
        <w:jc w:val="both"/>
        <w:rPr>
          <w:u w:val="single"/>
        </w:rPr>
      </w:pPr>
    </w:p>
    <w:p w14:paraId="646562AD" w14:textId="77777777" w:rsidR="00242DB1" w:rsidRDefault="00184EBD" w:rsidP="00242DB1">
      <w:pPr>
        <w:pStyle w:val="Heading3ProgramSection"/>
      </w:pPr>
      <w:r>
        <w:t>Local Match</w:t>
      </w:r>
    </w:p>
    <w:p w14:paraId="20877704" w14:textId="77777777" w:rsidR="008E686D" w:rsidRDefault="008E686D" w:rsidP="00EA24A2">
      <w:pPr>
        <w:pStyle w:val="BodyText"/>
      </w:pPr>
      <w:r>
        <w:t>CDBG projects are expected to leverage other public and private investments and serve as a catalyst for future development. Projects that traditionally have the greatest long term impact are those that have an investment by the community. Leveraging of CDBG funds is also considered a scoring factor in the selection of projects for funding.</w:t>
      </w:r>
    </w:p>
    <w:p w14:paraId="07EDAB13" w14:textId="77777777" w:rsidR="00EA24A2" w:rsidRDefault="00EA24A2" w:rsidP="00EA24A2">
      <w:pPr>
        <w:pStyle w:val="BodyText"/>
      </w:pPr>
    </w:p>
    <w:p w14:paraId="43C8AA7B" w14:textId="77777777" w:rsidR="008E686D" w:rsidRDefault="008E686D" w:rsidP="00EA24A2">
      <w:pPr>
        <w:pStyle w:val="BodyText"/>
      </w:pPr>
      <w:r>
        <w:t>There must be a 10% match of the total CDBG request, unless otherwise approved, which can come from a variety of committed sources including other, non-Commerce grants, loans, waiver of fees, public or private investments, and documented volunteer or in-kind contributions.</w:t>
      </w:r>
    </w:p>
    <w:p w14:paraId="0440FB77" w14:textId="77777777" w:rsidR="0001455B" w:rsidRDefault="0001455B" w:rsidP="00EA24A2">
      <w:pPr>
        <w:pStyle w:val="BodyText"/>
      </w:pPr>
    </w:p>
    <w:p w14:paraId="4BFBC258" w14:textId="77777777" w:rsidR="008E686D" w:rsidRDefault="008E686D" w:rsidP="00EA24A2">
      <w:pPr>
        <w:pStyle w:val="BodyText"/>
      </w:pPr>
      <w:r w:rsidRPr="0016309C">
        <w:t>Any fees for low and moderate income hook up/connection</w:t>
      </w:r>
      <w:r>
        <w:t xml:space="preserve"> to public water and sewer must be waived or paid with non-CDBG funds, and may be considered part of the local match requirement. </w:t>
      </w:r>
    </w:p>
    <w:p w14:paraId="145B9A11" w14:textId="77777777" w:rsidR="00DF52DE" w:rsidRDefault="00DF52DE" w:rsidP="00EA24A2">
      <w:pPr>
        <w:pStyle w:val="BodyText"/>
      </w:pPr>
    </w:p>
    <w:p w14:paraId="19322777" w14:textId="77777777" w:rsidR="008E686D" w:rsidRDefault="008E686D" w:rsidP="008E686D">
      <w:pPr>
        <w:pStyle w:val="BodyText"/>
      </w:pPr>
      <w:r>
        <w:t xml:space="preserve">The required match must be for activity costs directly related to the CDBG project. The </w:t>
      </w:r>
      <w:r w:rsidR="00A015D6">
        <w:t>S</w:t>
      </w:r>
      <w:r>
        <w:t xml:space="preserve">tate must approve in advance any proposed match </w:t>
      </w:r>
      <w:r w:rsidR="002568AD" w:rsidRPr="00EB193F">
        <w:t xml:space="preserve">(except application preparation </w:t>
      </w:r>
      <w:r w:rsidR="006D5851" w:rsidRPr="00EB193F">
        <w:t xml:space="preserve">or environmental review </w:t>
      </w:r>
      <w:r w:rsidR="002568AD" w:rsidRPr="00EB193F">
        <w:t xml:space="preserve">costs) </w:t>
      </w:r>
      <w:r w:rsidRPr="00EB193F">
        <w:t>that has been spent prior to application submission</w:t>
      </w:r>
      <w:r w:rsidR="006D5851" w:rsidRPr="00EB193F">
        <w:t xml:space="preserve"> for all projects except Ready to Go</w:t>
      </w:r>
      <w:r w:rsidRPr="00EB193F">
        <w:t xml:space="preserve">. With </w:t>
      </w:r>
      <w:r w:rsidRPr="00EB193F">
        <w:lastRenderedPageBreak/>
        <w:t>prior written approval, the match may</w:t>
      </w:r>
      <w:r>
        <w:t xml:space="preserve"> be used for acquisition</w:t>
      </w:r>
      <w:r w:rsidR="000425C0">
        <w:t xml:space="preserve"> </w:t>
      </w:r>
      <w:r w:rsidR="007F12AC" w:rsidRPr="007F12AC">
        <w:t>(after completion of environmental review/clearance)</w:t>
      </w:r>
      <w:r>
        <w:t>, engineering design</w:t>
      </w:r>
      <w:r w:rsidR="0030714C">
        <w:t xml:space="preserve"> or permitting</w:t>
      </w:r>
      <w:r>
        <w:t xml:space="preserve"> prior to the submission of the application. This is encouraged so that projects are construction ready.  </w:t>
      </w:r>
    </w:p>
    <w:p w14:paraId="3420B6EE" w14:textId="77777777" w:rsidR="002568AD" w:rsidRDefault="002568AD" w:rsidP="008E686D">
      <w:pPr>
        <w:pStyle w:val="BodyText"/>
      </w:pPr>
    </w:p>
    <w:p w14:paraId="661692DD" w14:textId="6C443F54" w:rsidR="008E686D" w:rsidRDefault="008E686D" w:rsidP="008E686D">
      <w:pPr>
        <w:pStyle w:val="BodyText"/>
      </w:pPr>
      <w:r>
        <w:t xml:space="preserve">The match requirement may be modified or waived by </w:t>
      </w:r>
      <w:r w:rsidR="00B66463">
        <w:t xml:space="preserve">the State CDBG Program </w:t>
      </w:r>
      <w:r>
        <w:t xml:space="preserve">upon written request and after consideration of the following minimum factors: the nature of the project, the need being addressed, local financial capacity and the availability of other resources. </w:t>
      </w:r>
      <w:r w:rsidR="00B66463">
        <w:t>the State CDBG Program</w:t>
      </w:r>
      <w:r>
        <w:t xml:space="preserve"> may request financial and other information as may be needed to make a determination. It is unlikely that a 100% waiver will be approved since </w:t>
      </w:r>
      <w:r w:rsidR="0030714C">
        <w:t>match can come from a variety of sources</w:t>
      </w:r>
      <w:r>
        <w:t>.</w:t>
      </w:r>
    </w:p>
    <w:p w14:paraId="0B0D104A" w14:textId="77777777" w:rsidR="00941BD6" w:rsidRDefault="00941BD6" w:rsidP="008E686D">
      <w:pPr>
        <w:pStyle w:val="BodyText"/>
      </w:pPr>
    </w:p>
    <w:p w14:paraId="0F369EDC" w14:textId="77777777" w:rsidR="00184EBD" w:rsidRDefault="00184EBD" w:rsidP="0033794B">
      <w:pPr>
        <w:pStyle w:val="Heading3ProgramSection"/>
      </w:pPr>
      <w:r>
        <w:t>Selection Process</w:t>
      </w:r>
    </w:p>
    <w:p w14:paraId="3D790556" w14:textId="520D6B83" w:rsidR="00184EBD" w:rsidRDefault="00B66463" w:rsidP="00C466C4">
      <w:pPr>
        <w:pStyle w:val="BodyText"/>
      </w:pPr>
      <w:r>
        <w:t>The State CDBG Program</w:t>
      </w:r>
      <w:r w:rsidR="00184EBD">
        <w:t xml:space="preserve"> will review all of the applications it receives for </w:t>
      </w:r>
      <w:r w:rsidR="00434C00">
        <w:t xml:space="preserve">completeness and </w:t>
      </w:r>
      <w:r w:rsidR="00184EBD">
        <w:t xml:space="preserve">eligibility of activities under federal and state guidelines. Applications will also be reviewed based on the following factors to determine fundability and feasibility of the project: </w:t>
      </w:r>
    </w:p>
    <w:p w14:paraId="66CE7C8C" w14:textId="77777777" w:rsidR="00184EBD" w:rsidRDefault="00184EBD" w:rsidP="00747A94">
      <w:pPr>
        <w:pStyle w:val="Bulletedsgl-multlinespbeforeafter"/>
      </w:pPr>
      <w:r>
        <w:t>Appropriateness of the technical design given the size and resources of the community and the complexity of the problem</w:t>
      </w:r>
    </w:p>
    <w:p w14:paraId="1A8CEB91" w14:textId="77777777" w:rsidR="00184EBD" w:rsidRDefault="00184EBD" w:rsidP="00747A94">
      <w:pPr>
        <w:pStyle w:val="BulletedMultilinespbeforeafter"/>
      </w:pPr>
      <w:r>
        <w:t>Project is ready to start</w:t>
      </w:r>
    </w:p>
    <w:p w14:paraId="2B35D1F3" w14:textId="44780307" w:rsidR="00184EBD" w:rsidRDefault="00184EBD" w:rsidP="00C466C4">
      <w:pPr>
        <w:pStyle w:val="BodyText"/>
      </w:pPr>
      <w:r>
        <w:t xml:space="preserve">Applications that are incomplete or contain significant problems, deficiencies or discrepancies, such that a determination of the viability or fundability of the project cannot be readily determined, </w:t>
      </w:r>
      <w:r w:rsidR="008974E3">
        <w:t xml:space="preserve">may </w:t>
      </w:r>
      <w:r>
        <w:t xml:space="preserve">not be considered and </w:t>
      </w:r>
      <w:r w:rsidR="008974E3">
        <w:t xml:space="preserve">may </w:t>
      </w:r>
      <w:r w:rsidR="00276751">
        <w:t xml:space="preserve">be returned to the applicant. </w:t>
      </w:r>
      <w:r w:rsidR="00A36F2C">
        <w:t xml:space="preserve">Projects </w:t>
      </w:r>
      <w:r w:rsidR="00EC1EB5">
        <w:t>which are</w:t>
      </w:r>
      <w:r w:rsidR="00A36F2C">
        <w:t xml:space="preserve"> locally controversial </w:t>
      </w:r>
      <w:r w:rsidR="00EC1EB5">
        <w:t>will</w:t>
      </w:r>
      <w:r w:rsidR="00A36F2C">
        <w:t xml:space="preserve"> not be considered</w:t>
      </w:r>
      <w:r w:rsidR="00EC1EB5">
        <w:t xml:space="preserve"> feasible until the controversy is satisfactorily resolved</w:t>
      </w:r>
      <w:r w:rsidR="00A36F2C">
        <w:t xml:space="preserve">. </w:t>
      </w:r>
      <w:r>
        <w:t xml:space="preserve">Clarifications to the application which are requested by </w:t>
      </w:r>
      <w:r w:rsidR="00B66463">
        <w:t xml:space="preserve">the State CDBG Program </w:t>
      </w:r>
      <w:r>
        <w:t xml:space="preserve">must be submitted within the timeframe specified and must be acceptable to </w:t>
      </w:r>
      <w:r w:rsidR="00B66463">
        <w:t>the State CDBG Program</w:t>
      </w:r>
      <w:r w:rsidR="00276751">
        <w:t xml:space="preserve">. </w:t>
      </w:r>
      <w:r>
        <w:t xml:space="preserve">Failure to adequately respond within the timeframe </w:t>
      </w:r>
      <w:r w:rsidR="001B23F4">
        <w:t xml:space="preserve">may </w:t>
      </w:r>
      <w:r>
        <w:t>result in the application being returned to the applicant</w:t>
      </w:r>
      <w:r w:rsidR="00504A80">
        <w:t xml:space="preserve"> or </w:t>
      </w:r>
      <w:r w:rsidR="00B66463">
        <w:t xml:space="preserve">the State CDBG Program </w:t>
      </w:r>
      <w:r w:rsidR="00504A80">
        <w:t>may reduce or eliminate questioned activities</w:t>
      </w:r>
      <w:r>
        <w:t xml:space="preserve">. </w:t>
      </w:r>
    </w:p>
    <w:p w14:paraId="4AC41A90" w14:textId="77777777" w:rsidR="00A26A62" w:rsidRDefault="00A26A62" w:rsidP="00C466C4">
      <w:pPr>
        <w:pStyle w:val="BodyText"/>
      </w:pPr>
    </w:p>
    <w:p w14:paraId="5561E8FD" w14:textId="283421F8" w:rsidR="00B66463" w:rsidRDefault="00184EBD" w:rsidP="00C466C4">
      <w:pPr>
        <w:pStyle w:val="BodyText"/>
      </w:pPr>
      <w:r>
        <w:t>An on-site review of the proposed project may be conducted as necessary to verify i</w:t>
      </w:r>
      <w:r w:rsidR="00276751">
        <w:t xml:space="preserve">nformation in the application. </w:t>
      </w:r>
      <w:r>
        <w:t>Upon completion of the feasibility and fundability review, applications will be evaluated and scored based on the Selection Criteria</w:t>
      </w:r>
      <w:r w:rsidR="00141E65">
        <w:t xml:space="preserve"> below</w:t>
      </w:r>
      <w:r>
        <w:t>.</w:t>
      </w:r>
    </w:p>
    <w:p w14:paraId="74B9C256" w14:textId="77777777" w:rsidR="007C3AA0" w:rsidRPr="00BB08EE" w:rsidRDefault="007C3AA0" w:rsidP="002046BF">
      <w:pPr>
        <w:pStyle w:val="ScoreHeader"/>
      </w:pPr>
      <w:r w:rsidRPr="00BB08EE">
        <w:t xml:space="preserve">Community Distress </w:t>
      </w:r>
      <w:r w:rsidRPr="00BB08EE">
        <w:tab/>
      </w:r>
      <w:r>
        <w:t>5</w:t>
      </w:r>
      <w:r w:rsidRPr="00BB08EE">
        <w:t>%</w:t>
      </w:r>
    </w:p>
    <w:p w14:paraId="15615428" w14:textId="2890CD54" w:rsidR="007C3AA0" w:rsidRPr="0057630D" w:rsidRDefault="007C3AA0" w:rsidP="0057630D">
      <w:pPr>
        <w:pStyle w:val="ScoreBulletMain"/>
      </w:pPr>
      <w:r>
        <w:t>(All projects) Projects will be assigned a score from highest to lowest based on location in one of the Distressed</w:t>
      </w:r>
      <w:r w:rsidR="2FF28E8E">
        <w:t xml:space="preserve"> </w:t>
      </w:r>
      <w:r>
        <w:t xml:space="preserve">county designations, as defined by the SC Department of Revenue for the purpose </w:t>
      </w:r>
      <w:r w:rsidR="00276751">
        <w:t>of determining Job Tax Credits</w:t>
      </w:r>
    </w:p>
    <w:p w14:paraId="51E64032" w14:textId="77777777" w:rsidR="007C3AA0" w:rsidRPr="00B1707B" w:rsidRDefault="00691BF8" w:rsidP="00EF47C7">
      <w:pPr>
        <w:pStyle w:val="Bullet2"/>
      </w:pPr>
      <w:r w:rsidRPr="00B1707B">
        <w:rPr>
          <w:lang w:val="en-US"/>
        </w:rPr>
        <w:t>Tier I</w:t>
      </w:r>
      <w:r w:rsidR="00EF47C7" w:rsidRPr="00B1707B">
        <w:rPr>
          <w:lang w:val="en-US"/>
        </w:rPr>
        <w:t>II</w:t>
      </w:r>
      <w:r w:rsidRPr="00B1707B">
        <w:rPr>
          <w:lang w:val="en-US"/>
        </w:rPr>
        <w:t xml:space="preserve"> and </w:t>
      </w:r>
      <w:r w:rsidR="00EF47C7" w:rsidRPr="00B1707B">
        <w:rPr>
          <w:lang w:val="en-US"/>
        </w:rPr>
        <w:t>IV</w:t>
      </w:r>
      <w:r w:rsidR="007C3AA0" w:rsidRPr="00B1707B">
        <w:t xml:space="preserve"> </w:t>
      </w:r>
      <w:r w:rsidR="00EF47C7" w:rsidRPr="00B1707B">
        <w:t xml:space="preserve">(Distressed and Least Developed) </w:t>
      </w:r>
      <w:r w:rsidR="007C3AA0" w:rsidRPr="00B1707B">
        <w:t>Counties</w:t>
      </w:r>
      <w:r w:rsidR="006F2F11" w:rsidRPr="00B1707B">
        <w:rPr>
          <w:lang w:val="en-US"/>
        </w:rPr>
        <w:t xml:space="preserve"> </w:t>
      </w:r>
      <w:r w:rsidR="007C3AA0" w:rsidRPr="00B1707B">
        <w:t>= 3</w:t>
      </w:r>
    </w:p>
    <w:p w14:paraId="0939AAD0" w14:textId="77777777" w:rsidR="007C3AA0" w:rsidRPr="00B1707B" w:rsidRDefault="008803B7" w:rsidP="00EF47C7">
      <w:pPr>
        <w:pStyle w:val="Bullet2"/>
      </w:pPr>
      <w:r w:rsidRPr="00B1707B">
        <w:rPr>
          <w:lang w:val="en-US"/>
        </w:rPr>
        <w:t>Tier I</w:t>
      </w:r>
      <w:r w:rsidR="00691BF8" w:rsidRPr="00B1707B">
        <w:rPr>
          <w:lang w:val="en-US"/>
        </w:rPr>
        <w:t>I</w:t>
      </w:r>
      <w:r w:rsidR="007C3AA0" w:rsidRPr="00B1707B">
        <w:t xml:space="preserve"> </w:t>
      </w:r>
      <w:r w:rsidR="00EF47C7" w:rsidRPr="00B1707B">
        <w:t xml:space="preserve">(Moderately Developed) </w:t>
      </w:r>
      <w:r w:rsidR="007C3AA0" w:rsidRPr="00B1707B">
        <w:t>Counties</w:t>
      </w:r>
      <w:r w:rsidR="00691BF8" w:rsidRPr="00B1707B">
        <w:rPr>
          <w:lang w:val="en-US"/>
        </w:rPr>
        <w:t xml:space="preserve"> </w:t>
      </w:r>
      <w:r w:rsidR="007C3AA0" w:rsidRPr="00B1707B">
        <w:t>= 2</w:t>
      </w:r>
    </w:p>
    <w:p w14:paraId="045AAF94" w14:textId="77777777" w:rsidR="007C3AA0" w:rsidRPr="00B1707B" w:rsidRDefault="00691BF8" w:rsidP="00EF47C7">
      <w:pPr>
        <w:pStyle w:val="Bullet2"/>
      </w:pPr>
      <w:r w:rsidRPr="00B1707B">
        <w:rPr>
          <w:lang w:val="en-US"/>
        </w:rPr>
        <w:t xml:space="preserve">Tier </w:t>
      </w:r>
      <w:r w:rsidR="00EF47C7" w:rsidRPr="00B1707B">
        <w:rPr>
          <w:lang w:val="en-US"/>
        </w:rPr>
        <w:t>I</w:t>
      </w:r>
      <w:r w:rsidRPr="00B1707B">
        <w:rPr>
          <w:lang w:val="en-US"/>
        </w:rPr>
        <w:t xml:space="preserve"> </w:t>
      </w:r>
      <w:r w:rsidR="00EF47C7" w:rsidRPr="00B1707B">
        <w:rPr>
          <w:lang w:val="en-US"/>
        </w:rPr>
        <w:t xml:space="preserve">(Developed) </w:t>
      </w:r>
      <w:r w:rsidR="007C3AA0" w:rsidRPr="00B1707B">
        <w:t>Counties</w:t>
      </w:r>
      <w:r w:rsidRPr="00B1707B">
        <w:rPr>
          <w:lang w:val="en-US"/>
        </w:rPr>
        <w:t xml:space="preserve"> </w:t>
      </w:r>
      <w:r w:rsidR="007C3AA0" w:rsidRPr="00B1707B">
        <w:t>= 1</w:t>
      </w:r>
    </w:p>
    <w:p w14:paraId="260E7538" w14:textId="77777777" w:rsidR="007C3AA0" w:rsidRPr="004A3CD0" w:rsidRDefault="00FB3486" w:rsidP="002046BF">
      <w:pPr>
        <w:pStyle w:val="ScoreHeader"/>
      </w:pPr>
      <w:r>
        <w:t>Severity of the Problem</w:t>
      </w:r>
      <w:r w:rsidR="007C3AA0">
        <w:tab/>
        <w:t>10</w:t>
      </w:r>
      <w:r w:rsidR="007C3AA0" w:rsidRPr="004A3CD0">
        <w:t>%</w:t>
      </w:r>
    </w:p>
    <w:p w14:paraId="13B39E84" w14:textId="77777777" w:rsidR="007C3AA0" w:rsidRPr="004A3CD0" w:rsidRDefault="007C3AA0" w:rsidP="0057630D">
      <w:pPr>
        <w:pStyle w:val="ScoreBulletMain"/>
      </w:pPr>
      <w:r w:rsidRPr="004A3CD0">
        <w:t>Degree that public health and safety is affected, if applicable</w:t>
      </w:r>
      <w:r>
        <w:t>,</w:t>
      </w:r>
      <w:r w:rsidRPr="004A3CD0">
        <w:t xml:space="preserve"> </w:t>
      </w:r>
      <w:r>
        <w:t>and</w:t>
      </w:r>
    </w:p>
    <w:p w14:paraId="6CD4F821" w14:textId="77777777" w:rsidR="007C3AA0" w:rsidRDefault="007C3AA0" w:rsidP="0057630D">
      <w:pPr>
        <w:pStyle w:val="ScoreBulletMain"/>
      </w:pPr>
      <w:r w:rsidRPr="00BB08EE">
        <w:t>Degree facilities/services are currently serving the community and the adequacy of the</w:t>
      </w:r>
      <w:r w:rsidRPr="004A3CD0">
        <w:t xml:space="preserve"> </w:t>
      </w:r>
      <w:r w:rsidR="00FB3486">
        <w:t>facilities/</w:t>
      </w:r>
      <w:r w:rsidRPr="004A3CD0">
        <w:t xml:space="preserve">services, </w:t>
      </w:r>
      <w:r>
        <w:t>as</w:t>
      </w:r>
      <w:r w:rsidRPr="004A3CD0">
        <w:t xml:space="preserve"> applicable</w:t>
      </w:r>
    </w:p>
    <w:p w14:paraId="41400373" w14:textId="77777777" w:rsidR="007C3AA0" w:rsidRPr="00073D2B" w:rsidRDefault="00FB3486" w:rsidP="0057630D">
      <w:pPr>
        <w:pStyle w:val="ScoreBulletSub"/>
      </w:pPr>
      <w:r>
        <w:t>Severe need</w:t>
      </w:r>
      <w:r w:rsidR="00A3245F">
        <w:t xml:space="preserve"> </w:t>
      </w:r>
      <w:r w:rsidR="007C3AA0">
        <w:t>= 3</w:t>
      </w:r>
    </w:p>
    <w:p w14:paraId="4FD11730" w14:textId="77777777" w:rsidR="00687C84" w:rsidRDefault="00FB3486" w:rsidP="0057630D">
      <w:pPr>
        <w:pStyle w:val="ScoreBulletSub"/>
      </w:pPr>
      <w:r>
        <w:t>Moderate need</w:t>
      </w:r>
      <w:r w:rsidR="00687C84">
        <w:t xml:space="preserve"> = 2 </w:t>
      </w:r>
    </w:p>
    <w:p w14:paraId="2373600F" w14:textId="77777777" w:rsidR="007C3AA0" w:rsidRPr="004A3CD0" w:rsidRDefault="0002187D" w:rsidP="0057630D">
      <w:pPr>
        <w:pStyle w:val="ScoreBulletSub"/>
      </w:pPr>
      <w:r>
        <w:lastRenderedPageBreak/>
        <w:t xml:space="preserve">Slight </w:t>
      </w:r>
      <w:r w:rsidR="00FB3486">
        <w:t>need</w:t>
      </w:r>
      <w:r w:rsidR="00A3245F">
        <w:t xml:space="preserve"> </w:t>
      </w:r>
      <w:r w:rsidR="00687C84">
        <w:t>= 1</w:t>
      </w:r>
    </w:p>
    <w:p w14:paraId="1C38EE34" w14:textId="77777777" w:rsidR="007C3AA0" w:rsidRPr="004A3CD0" w:rsidRDefault="007C3AA0" w:rsidP="002046BF">
      <w:pPr>
        <w:pStyle w:val="ScoreHeader"/>
      </w:pPr>
      <w:r w:rsidRPr="004A3CD0">
        <w:t>Citizen Participation</w:t>
      </w:r>
      <w:r w:rsidRPr="004A3CD0">
        <w:tab/>
      </w:r>
      <w:r w:rsidR="00335233">
        <w:t>5</w:t>
      </w:r>
      <w:r w:rsidRPr="004A3CD0">
        <w:t>%</w:t>
      </w:r>
    </w:p>
    <w:p w14:paraId="4F16F0B2" w14:textId="77777777" w:rsidR="007C3AA0" w:rsidRPr="004A3CD0" w:rsidRDefault="007C3AA0" w:rsidP="0057630D">
      <w:pPr>
        <w:pStyle w:val="ScoreBulletMain"/>
      </w:pPr>
      <w:r w:rsidRPr="004A3CD0">
        <w:t>Outreach efforts to low and moderate income citizens</w:t>
      </w:r>
      <w:r w:rsidR="00504A80">
        <w:t xml:space="preserve"> and racial, ethnic and special population concentrations</w:t>
      </w:r>
      <w:r>
        <w:t>,</w:t>
      </w:r>
    </w:p>
    <w:p w14:paraId="3E1CB228" w14:textId="77777777" w:rsidR="007C3AA0" w:rsidRPr="004A3CD0" w:rsidRDefault="007C3AA0" w:rsidP="0057630D">
      <w:pPr>
        <w:pStyle w:val="ScoreBulletMain"/>
      </w:pPr>
      <w:r w:rsidRPr="004A3CD0">
        <w:t xml:space="preserve">Needs assessment is comprehensive and </w:t>
      </w:r>
      <w:r>
        <w:t>solicited from broad community,</w:t>
      </w:r>
    </w:p>
    <w:p w14:paraId="6DEB8C09" w14:textId="77777777" w:rsidR="007C3AA0" w:rsidRPr="004A3CD0" w:rsidRDefault="007C3AA0" w:rsidP="0057630D">
      <w:pPr>
        <w:pStyle w:val="ScoreBulletMain"/>
      </w:pPr>
      <w:r w:rsidRPr="004A3CD0">
        <w:t>Project is top 3 priority need</w:t>
      </w:r>
      <w:r>
        <w:t xml:space="preserve"> unless otherwise justified,</w:t>
      </w:r>
    </w:p>
    <w:p w14:paraId="00681781" w14:textId="77777777" w:rsidR="007C3AA0" w:rsidRPr="004A3CD0" w:rsidRDefault="007C3AA0" w:rsidP="0057630D">
      <w:pPr>
        <w:pStyle w:val="ScoreBulletMain"/>
      </w:pPr>
      <w:r w:rsidRPr="004A3CD0">
        <w:t>Public hearings held according to requirements</w:t>
      </w:r>
      <w:r>
        <w:t xml:space="preserve">, </w:t>
      </w:r>
    </w:p>
    <w:p w14:paraId="345A686F" w14:textId="77777777" w:rsidR="007C3AA0" w:rsidRDefault="007C3AA0" w:rsidP="0057630D">
      <w:pPr>
        <w:pStyle w:val="ScoreBulletMain"/>
      </w:pPr>
      <w:r w:rsidRPr="004A3CD0">
        <w:t>Participation in hearings by broad community</w:t>
      </w:r>
      <w:r w:rsidR="00335233">
        <w:t>, and</w:t>
      </w:r>
    </w:p>
    <w:p w14:paraId="0B65497D" w14:textId="77777777" w:rsidR="00335233" w:rsidRPr="0003160C" w:rsidRDefault="00335233" w:rsidP="0057630D">
      <w:pPr>
        <w:pStyle w:val="ScoreBulletMain"/>
      </w:pPr>
      <w:r>
        <w:t>Local leadership</w:t>
      </w:r>
      <w:r w:rsidR="004B5B29">
        <w:t>, businesses and residents are</w:t>
      </w:r>
      <w:r>
        <w:t xml:space="preserve"> committed to the project</w:t>
      </w:r>
      <w:r w:rsidR="00EC1EB5">
        <w:t xml:space="preserve"> and there is no evidence of controversy or disagreement</w:t>
      </w:r>
    </w:p>
    <w:p w14:paraId="47C0F622" w14:textId="77777777" w:rsidR="007C3AA0" w:rsidRPr="00D033C6" w:rsidRDefault="0057630D" w:rsidP="0085376E">
      <w:pPr>
        <w:pStyle w:val="Bullet1"/>
        <w:numPr>
          <w:ilvl w:val="0"/>
          <w:numId w:val="0"/>
        </w:numPr>
        <w:ind w:left="360"/>
        <w:jc w:val="both"/>
        <w:rPr>
          <w:i/>
          <w:sz w:val="24"/>
          <w:szCs w:val="24"/>
        </w:rPr>
      </w:pPr>
      <w:r>
        <w:rPr>
          <w:i/>
          <w:sz w:val="24"/>
          <w:szCs w:val="24"/>
        </w:rPr>
        <w:tab/>
      </w:r>
      <w:r w:rsidR="007C3AA0" w:rsidRPr="00D033C6">
        <w:rPr>
          <w:i/>
          <w:sz w:val="24"/>
          <w:szCs w:val="24"/>
        </w:rPr>
        <w:t>Scores based on review of above factors:</w:t>
      </w:r>
    </w:p>
    <w:p w14:paraId="50AF5942" w14:textId="77777777" w:rsidR="007C3AA0" w:rsidRDefault="007C3AA0" w:rsidP="0057630D">
      <w:pPr>
        <w:pStyle w:val="ScoreBulletSub"/>
      </w:pPr>
      <w:r w:rsidRPr="00C85013">
        <w:t>All requirements met and significant additional efforts and participation = 3</w:t>
      </w:r>
    </w:p>
    <w:p w14:paraId="720009D2" w14:textId="77777777" w:rsidR="007C3AA0" w:rsidRPr="00C85013" w:rsidRDefault="007C3AA0" w:rsidP="0057630D">
      <w:pPr>
        <w:pStyle w:val="ScoreBulletSub"/>
      </w:pPr>
      <w:r w:rsidRPr="00C85013">
        <w:t xml:space="preserve">Above </w:t>
      </w:r>
      <w:r>
        <w:t>m</w:t>
      </w:r>
      <w:r w:rsidRPr="00C85013">
        <w:t>inimum effort but additional effort or participation limited = 2</w:t>
      </w:r>
    </w:p>
    <w:p w14:paraId="0685BD1F" w14:textId="77777777" w:rsidR="007C3AA0" w:rsidRPr="00073D2B" w:rsidRDefault="007C3AA0" w:rsidP="0057630D">
      <w:pPr>
        <w:pStyle w:val="ScoreBulletSub"/>
      </w:pPr>
      <w:r w:rsidRPr="00C85013">
        <w:t>Minimum requirements met = 1</w:t>
      </w:r>
    </w:p>
    <w:p w14:paraId="53B4FD3E" w14:textId="77777777" w:rsidR="007C3AA0" w:rsidRPr="004A3CD0" w:rsidRDefault="007C3AA0" w:rsidP="002046BF">
      <w:pPr>
        <w:pStyle w:val="ScoreHeader"/>
      </w:pPr>
      <w:r w:rsidRPr="004A3CD0">
        <w:t>Level of Effort</w:t>
      </w:r>
      <w:r w:rsidRPr="004A3CD0">
        <w:tab/>
      </w:r>
      <w:r w:rsidR="002C2C7E">
        <w:t>5</w:t>
      </w:r>
      <w:r w:rsidRPr="004A3CD0">
        <w:t>%</w:t>
      </w:r>
    </w:p>
    <w:p w14:paraId="61640917" w14:textId="77777777" w:rsidR="007C3AA0" w:rsidRPr="00BB08EE" w:rsidRDefault="007C3AA0" w:rsidP="0057630D">
      <w:pPr>
        <w:pStyle w:val="ScoreBulletMain"/>
      </w:pPr>
      <w:r w:rsidRPr="00BB08EE">
        <w:t xml:space="preserve">Return on </w:t>
      </w:r>
      <w:r w:rsidR="0002187D">
        <w:t xml:space="preserve">CDBG </w:t>
      </w:r>
      <w:r w:rsidRPr="00BB08EE">
        <w:t xml:space="preserve">investment ratio compared to all projects </w:t>
      </w:r>
    </w:p>
    <w:p w14:paraId="55BDA1D4" w14:textId="77777777" w:rsidR="007C3AA0" w:rsidRPr="00073D2B" w:rsidRDefault="007C3AA0" w:rsidP="0057630D">
      <w:pPr>
        <w:pStyle w:val="ScoreBulletSub"/>
      </w:pPr>
      <w:r w:rsidRPr="00073D2B">
        <w:t xml:space="preserve">Rank ordered and assigned points in </w:t>
      </w:r>
      <w:r w:rsidR="00F7131C">
        <w:t>logical</w:t>
      </w:r>
      <w:r w:rsidR="00F7131C" w:rsidRPr="00073D2B">
        <w:t xml:space="preserve"> </w:t>
      </w:r>
      <w:r w:rsidRPr="00073D2B">
        <w:t>increments</w:t>
      </w:r>
    </w:p>
    <w:p w14:paraId="66F62020" w14:textId="77777777" w:rsidR="007C3AA0" w:rsidRPr="001F0F1F" w:rsidRDefault="00662159" w:rsidP="007B56E5">
      <w:pPr>
        <w:pStyle w:val="ScoreHeader"/>
        <w:spacing w:before="480"/>
      </w:pPr>
      <w:r>
        <w:t>Feasibility</w:t>
      </w:r>
      <w:r>
        <w:tab/>
      </w:r>
      <w:r w:rsidR="00691BF8">
        <w:t>15</w:t>
      </w:r>
      <w:r w:rsidR="007C3AA0" w:rsidRPr="001F0F1F">
        <w:t>%</w:t>
      </w:r>
    </w:p>
    <w:p w14:paraId="0B3B4ADD" w14:textId="77777777" w:rsidR="007C3AA0" w:rsidRPr="00BB08EE" w:rsidRDefault="007C3AA0" w:rsidP="0057630D">
      <w:pPr>
        <w:pStyle w:val="ScoreBulletMain"/>
      </w:pPr>
      <w:r w:rsidRPr="001F0F1F">
        <w:t xml:space="preserve">Effective project planning addresses all aspects of project </w:t>
      </w:r>
      <w:r w:rsidR="00EB193F" w:rsidRPr="001F0F1F">
        <w:t xml:space="preserve">and outcomes are </w:t>
      </w:r>
      <w:r w:rsidR="00E56723" w:rsidRPr="001F0F1F">
        <w:t>achievable</w:t>
      </w:r>
    </w:p>
    <w:p w14:paraId="7CB3AE96" w14:textId="77777777" w:rsidR="00F7131C" w:rsidRDefault="00F7131C" w:rsidP="0057630D">
      <w:pPr>
        <w:pStyle w:val="ScoreBulletSub"/>
      </w:pPr>
      <w:r>
        <w:t>Long term, viable solution to the problem</w:t>
      </w:r>
    </w:p>
    <w:p w14:paraId="143DBA70" w14:textId="77777777" w:rsidR="007C3AA0" w:rsidRDefault="002C2C7E" w:rsidP="0057630D">
      <w:pPr>
        <w:pStyle w:val="ScoreBulletSub"/>
      </w:pPr>
      <w:r>
        <w:t>Past efforts to solve problem and develop plans for implementation</w:t>
      </w:r>
      <w:r w:rsidR="007C3AA0">
        <w:t>, and</w:t>
      </w:r>
    </w:p>
    <w:p w14:paraId="1F261D9A" w14:textId="77777777" w:rsidR="007C3AA0" w:rsidRDefault="007C3AA0" w:rsidP="0057630D">
      <w:pPr>
        <w:pStyle w:val="ScoreBulletSub"/>
      </w:pPr>
      <w:r w:rsidRPr="004A3CD0">
        <w:t>Alternatives considered and best solution being implemented</w:t>
      </w:r>
      <w:r>
        <w:t>, and</w:t>
      </w:r>
    </w:p>
    <w:p w14:paraId="144A584B" w14:textId="77777777" w:rsidR="007C3AA0" w:rsidRDefault="007C3AA0" w:rsidP="0057630D">
      <w:pPr>
        <w:pStyle w:val="ScoreBulletSub"/>
      </w:pPr>
      <w:r>
        <w:t>Cost estimates current, appear reasonable</w:t>
      </w:r>
      <w:r w:rsidR="00CA29E9">
        <w:rPr>
          <w:lang w:val="en-US"/>
        </w:rPr>
        <w:t xml:space="preserve"> based on need, impact and benefit</w:t>
      </w:r>
      <w:r>
        <w:t>, all necessary costs included, and</w:t>
      </w:r>
    </w:p>
    <w:p w14:paraId="0329E355" w14:textId="77777777" w:rsidR="00EC1EB5" w:rsidRDefault="00EC1EB5" w:rsidP="0057630D">
      <w:pPr>
        <w:pStyle w:val="ScoreBulletSub"/>
      </w:pPr>
      <w:r>
        <w:t xml:space="preserve">All project resources are available in a timely manner, and </w:t>
      </w:r>
    </w:p>
    <w:p w14:paraId="7902DC30" w14:textId="77777777" w:rsidR="005C01A1" w:rsidRDefault="007C3AA0" w:rsidP="0057630D">
      <w:pPr>
        <w:pStyle w:val="ScoreBulletSub"/>
      </w:pPr>
      <w:r>
        <w:t>Project is eligible and all qualifying households determined and committed</w:t>
      </w:r>
    </w:p>
    <w:p w14:paraId="7DC61300" w14:textId="77777777" w:rsidR="007C3AA0" w:rsidRPr="0003160C" w:rsidRDefault="007C3AA0" w:rsidP="0057630D">
      <w:pPr>
        <w:pStyle w:val="Bullet1"/>
        <w:numPr>
          <w:ilvl w:val="0"/>
          <w:numId w:val="0"/>
        </w:numPr>
        <w:ind w:left="720"/>
        <w:jc w:val="both"/>
        <w:rPr>
          <w:i/>
          <w:sz w:val="24"/>
          <w:szCs w:val="24"/>
        </w:rPr>
      </w:pPr>
      <w:r w:rsidRPr="0003160C">
        <w:rPr>
          <w:i/>
          <w:sz w:val="24"/>
          <w:szCs w:val="24"/>
        </w:rPr>
        <w:t>Scores based on review of above factors:</w:t>
      </w:r>
    </w:p>
    <w:p w14:paraId="32D3D79E" w14:textId="77777777" w:rsidR="007C3AA0" w:rsidRPr="00B4110F" w:rsidRDefault="007C3AA0" w:rsidP="0057630D">
      <w:pPr>
        <w:pStyle w:val="ScoreBulletSub"/>
      </w:pPr>
      <w:r w:rsidRPr="00B4110F">
        <w:t>Effective project planning and ability to achieve outcome with resources available in a timely manner</w:t>
      </w:r>
      <w:r>
        <w:t xml:space="preserve"> = 3</w:t>
      </w:r>
    </w:p>
    <w:p w14:paraId="0403A28B" w14:textId="77777777" w:rsidR="007C3AA0" w:rsidRPr="00B4110F" w:rsidRDefault="007C3AA0" w:rsidP="0057630D">
      <w:pPr>
        <w:pStyle w:val="ScoreBulletSub"/>
      </w:pPr>
      <w:r w:rsidRPr="00B4110F">
        <w:t xml:space="preserve">Some concerns </w:t>
      </w:r>
      <w:r>
        <w:t>which</w:t>
      </w:r>
      <w:r w:rsidRPr="00B4110F">
        <w:t xml:space="preserve"> impact ability to achieve outcome</w:t>
      </w:r>
      <w:r>
        <w:t xml:space="preserve"> in a timely manner = 2</w:t>
      </w:r>
      <w:r w:rsidRPr="00B4110F">
        <w:t xml:space="preserve">  </w:t>
      </w:r>
    </w:p>
    <w:p w14:paraId="1A7F4F51" w14:textId="77777777" w:rsidR="007C3AA0" w:rsidRDefault="007C3AA0" w:rsidP="0057630D">
      <w:pPr>
        <w:pStyle w:val="ScoreBulletSub"/>
      </w:pPr>
      <w:r w:rsidRPr="00B4110F">
        <w:t>Significant issues which impact ability to achieve outcome</w:t>
      </w:r>
      <w:r>
        <w:t xml:space="preserve"> in a timely manner = 1</w:t>
      </w:r>
    </w:p>
    <w:p w14:paraId="21129F55" w14:textId="77777777" w:rsidR="003E128A" w:rsidRDefault="00662159" w:rsidP="007B56E5">
      <w:pPr>
        <w:pStyle w:val="ScoreHeader"/>
        <w:spacing w:before="480"/>
      </w:pPr>
      <w:r>
        <w:t>Readiness to Proceed</w:t>
      </w:r>
      <w:r>
        <w:tab/>
        <w:t>5</w:t>
      </w:r>
      <w:r w:rsidRPr="004A3CD0">
        <w:t>%</w:t>
      </w:r>
    </w:p>
    <w:p w14:paraId="62774F9A" w14:textId="77777777" w:rsidR="00662159" w:rsidRPr="00BB08EE" w:rsidRDefault="00662159" w:rsidP="0057630D">
      <w:pPr>
        <w:pStyle w:val="ScoreBulletMain"/>
      </w:pPr>
      <w:r w:rsidRPr="00BB08EE">
        <w:t xml:space="preserve">Readiness to proceed with project if awarded </w:t>
      </w:r>
    </w:p>
    <w:p w14:paraId="1635AAFA" w14:textId="77777777" w:rsidR="00662159" w:rsidRDefault="00662159" w:rsidP="0057630D">
      <w:pPr>
        <w:pStyle w:val="ScoreBulletSub"/>
      </w:pPr>
      <w:r>
        <w:t>Environmental review submitted</w:t>
      </w:r>
      <w:r w:rsidR="00EB193F">
        <w:t xml:space="preserve"> to GA</w:t>
      </w:r>
    </w:p>
    <w:p w14:paraId="23ECFF1B" w14:textId="77777777" w:rsidR="00662159" w:rsidRDefault="00662159" w:rsidP="0057630D">
      <w:pPr>
        <w:pStyle w:val="ScoreBulletSub"/>
      </w:pPr>
      <w:r>
        <w:t xml:space="preserve">Engineer/Architect </w:t>
      </w:r>
      <w:r w:rsidR="001B23F4">
        <w:rPr>
          <w:lang w:val="en-US"/>
        </w:rPr>
        <w:t>selected</w:t>
      </w:r>
    </w:p>
    <w:p w14:paraId="560370D2" w14:textId="77777777" w:rsidR="00662159" w:rsidRPr="0003160C" w:rsidRDefault="00662159" w:rsidP="0057630D">
      <w:pPr>
        <w:pStyle w:val="ScoreBulletSub"/>
      </w:pPr>
      <w:r w:rsidRPr="0003160C">
        <w:t>Design complete</w:t>
      </w:r>
    </w:p>
    <w:p w14:paraId="5D0C031A" w14:textId="77777777" w:rsidR="0082412C" w:rsidRPr="0003160C" w:rsidRDefault="0082412C" w:rsidP="0057630D">
      <w:pPr>
        <w:pStyle w:val="Bullet1"/>
        <w:numPr>
          <w:ilvl w:val="0"/>
          <w:numId w:val="0"/>
        </w:numPr>
        <w:ind w:left="720"/>
        <w:jc w:val="both"/>
        <w:rPr>
          <w:i/>
          <w:sz w:val="24"/>
          <w:szCs w:val="24"/>
        </w:rPr>
      </w:pPr>
      <w:r w:rsidRPr="0003160C">
        <w:rPr>
          <w:i/>
          <w:sz w:val="24"/>
          <w:szCs w:val="24"/>
        </w:rPr>
        <w:t>Scores based on review of above factors:</w:t>
      </w:r>
    </w:p>
    <w:p w14:paraId="30DFDBFB" w14:textId="77777777" w:rsidR="0082412C" w:rsidRPr="00B4110F" w:rsidRDefault="0082412C" w:rsidP="0057630D">
      <w:pPr>
        <w:pStyle w:val="ScoreBulletSub"/>
      </w:pPr>
      <w:r>
        <w:t>One point will be assigned for each of the above activities completed, up to a maximum of three points</w:t>
      </w:r>
    </w:p>
    <w:p w14:paraId="1706F65E" w14:textId="77777777" w:rsidR="007C3AA0" w:rsidRPr="004A3CD0" w:rsidRDefault="007C3AA0" w:rsidP="007B56E5">
      <w:pPr>
        <w:pStyle w:val="ScoreHeader"/>
        <w:spacing w:before="480"/>
      </w:pPr>
      <w:r w:rsidRPr="004A3CD0">
        <w:lastRenderedPageBreak/>
        <w:t>Cost/Benefit</w:t>
      </w:r>
      <w:r w:rsidRPr="004A3CD0">
        <w:tab/>
        <w:t xml:space="preserve"> 5%</w:t>
      </w:r>
    </w:p>
    <w:p w14:paraId="012620E3" w14:textId="77777777" w:rsidR="007C3AA0" w:rsidRPr="00BB08EE" w:rsidRDefault="007C3AA0" w:rsidP="0057630D">
      <w:pPr>
        <w:pStyle w:val="ScoreBulletMain"/>
      </w:pPr>
      <w:r w:rsidRPr="00BB08EE">
        <w:t>C</w:t>
      </w:r>
      <w:r w:rsidR="0002187D">
        <w:t>DBG c</w:t>
      </w:r>
      <w:r w:rsidRPr="00BB08EE">
        <w:t>ost/benefit ratio compared to all projects</w:t>
      </w:r>
    </w:p>
    <w:p w14:paraId="2EC84270" w14:textId="77777777" w:rsidR="007C3AA0" w:rsidRPr="00073D2B" w:rsidRDefault="007C3AA0" w:rsidP="0057630D">
      <w:pPr>
        <w:pStyle w:val="ScoreBulletSub"/>
      </w:pPr>
      <w:r w:rsidRPr="00073D2B">
        <w:t xml:space="preserve">Rank ordered and assigned points in </w:t>
      </w:r>
      <w:r w:rsidR="00F7131C">
        <w:t>logical</w:t>
      </w:r>
      <w:r w:rsidR="00F7131C" w:rsidRPr="00073D2B">
        <w:t xml:space="preserve"> </w:t>
      </w:r>
      <w:r w:rsidRPr="00073D2B">
        <w:t>increments</w:t>
      </w:r>
    </w:p>
    <w:p w14:paraId="53A98F57" w14:textId="77777777" w:rsidR="007C3AA0" w:rsidRPr="004A3CD0" w:rsidRDefault="007C3AA0" w:rsidP="007B56E5">
      <w:pPr>
        <w:pStyle w:val="ScoreHeader"/>
        <w:spacing w:before="480"/>
      </w:pPr>
      <w:r>
        <w:t>Beneficiaries</w:t>
      </w:r>
      <w:r>
        <w:tab/>
      </w:r>
      <w:r w:rsidRPr="004A3CD0">
        <w:t>5%</w:t>
      </w:r>
    </w:p>
    <w:p w14:paraId="2AECDAFB" w14:textId="77777777" w:rsidR="007C3AA0" w:rsidRPr="00BB08EE" w:rsidRDefault="007C3AA0" w:rsidP="0057630D">
      <w:pPr>
        <w:pStyle w:val="ScoreBulletMain"/>
      </w:pPr>
      <w:r w:rsidRPr="00BB08EE">
        <w:t xml:space="preserve">Total persons </w:t>
      </w:r>
      <w:r w:rsidR="00E53E13" w:rsidRPr="00BB08EE">
        <w:t>benefiting (</w:t>
      </w:r>
      <w:r w:rsidRPr="00BB08EE">
        <w:rPr>
          <w:rFonts w:ascii="Franklin Gothic Heavy" w:hAnsi="Franklin Gothic Heavy"/>
        </w:rPr>
        <w:t>2.5%</w:t>
      </w:r>
      <w:r w:rsidRPr="00BB08EE">
        <w:t>)</w:t>
      </w:r>
    </w:p>
    <w:p w14:paraId="5B998D39" w14:textId="77777777" w:rsidR="007C3AA0" w:rsidRPr="00073D2B" w:rsidRDefault="007C3AA0" w:rsidP="0057630D">
      <w:pPr>
        <w:pStyle w:val="ScoreBulletSub"/>
      </w:pPr>
      <w:r w:rsidRPr="00073D2B">
        <w:t xml:space="preserve">Rank ordered and assigned points in </w:t>
      </w:r>
      <w:r w:rsidR="004A5DEE">
        <w:t>logical</w:t>
      </w:r>
      <w:r w:rsidR="004A5DEE" w:rsidRPr="00073D2B">
        <w:t xml:space="preserve"> </w:t>
      </w:r>
      <w:r w:rsidRPr="00073D2B">
        <w:t>increments</w:t>
      </w:r>
    </w:p>
    <w:p w14:paraId="2CCBACD5" w14:textId="77777777" w:rsidR="007C3AA0" w:rsidRPr="00BB08EE" w:rsidRDefault="00E53E13" w:rsidP="0057630D">
      <w:pPr>
        <w:pStyle w:val="ScoreBulletMain"/>
      </w:pPr>
      <w:r>
        <w:t>LMI % benefiting</w:t>
      </w:r>
      <w:r w:rsidR="0082412C">
        <w:t xml:space="preserve"> (to be scored regardless of the national objective)</w:t>
      </w:r>
      <w:r w:rsidR="007C3AA0" w:rsidRPr="00BB08EE">
        <w:t xml:space="preserve">  </w:t>
      </w:r>
      <w:r w:rsidR="007C3AA0" w:rsidRPr="009F64FC">
        <w:t>(</w:t>
      </w:r>
      <w:r w:rsidR="007C3AA0" w:rsidRPr="00BB08EE">
        <w:rPr>
          <w:rFonts w:ascii="Franklin Gothic Heavy" w:hAnsi="Franklin Gothic Heavy"/>
        </w:rPr>
        <w:t>2.5%</w:t>
      </w:r>
      <w:r w:rsidR="007C3AA0" w:rsidRPr="009F64FC">
        <w:t>)</w:t>
      </w:r>
    </w:p>
    <w:p w14:paraId="1CB23B27" w14:textId="77777777" w:rsidR="007C3AA0" w:rsidRPr="00C85013" w:rsidRDefault="007C3AA0" w:rsidP="0057630D">
      <w:pPr>
        <w:pStyle w:val="ScoreBulletSub"/>
      </w:pPr>
      <w:r>
        <w:t>100-85 = 3</w:t>
      </w:r>
    </w:p>
    <w:p w14:paraId="7C93FD7D" w14:textId="77777777" w:rsidR="007C3AA0" w:rsidRPr="00C85013" w:rsidRDefault="007C3AA0" w:rsidP="0057630D">
      <w:pPr>
        <w:pStyle w:val="ScoreBulletSub"/>
      </w:pPr>
      <w:r w:rsidRPr="00C85013">
        <w:t>84-65</w:t>
      </w:r>
      <w:r>
        <w:t xml:space="preserve"> = 2</w:t>
      </w:r>
    </w:p>
    <w:p w14:paraId="547098B3" w14:textId="77777777" w:rsidR="007C3AA0" w:rsidRPr="00C85013" w:rsidRDefault="007C3AA0" w:rsidP="0057630D">
      <w:pPr>
        <w:pStyle w:val="ScoreBulletSub"/>
      </w:pPr>
      <w:r w:rsidRPr="00C85013">
        <w:t>64-51</w:t>
      </w:r>
      <w:r>
        <w:t xml:space="preserve"> = 1</w:t>
      </w:r>
    </w:p>
    <w:p w14:paraId="7E9EE144" w14:textId="77777777" w:rsidR="007C3AA0" w:rsidRPr="001F0F1F" w:rsidRDefault="007C3AA0" w:rsidP="0031165F">
      <w:pPr>
        <w:pStyle w:val="ScoreHeader"/>
        <w:spacing w:before="480"/>
      </w:pPr>
      <w:r w:rsidRPr="004A3CD0">
        <w:t>Outcome</w:t>
      </w:r>
      <w:r w:rsidRPr="004A3CD0">
        <w:tab/>
      </w:r>
      <w:r w:rsidR="00691BF8">
        <w:t>20</w:t>
      </w:r>
      <w:r w:rsidRPr="001F0F1F">
        <w:t>%</w:t>
      </w:r>
    </w:p>
    <w:p w14:paraId="3034F087" w14:textId="77777777" w:rsidR="00D85CEF" w:rsidRPr="0057630D" w:rsidRDefault="00D85CEF" w:rsidP="0057630D">
      <w:pPr>
        <w:pStyle w:val="ScoreBulletMain"/>
      </w:pPr>
      <w:r w:rsidRPr="0057630D">
        <w:t>Implements a comprehensive plan for revitalization or development</w:t>
      </w:r>
    </w:p>
    <w:p w14:paraId="79FC4A93" w14:textId="77777777" w:rsidR="00AB283C" w:rsidRPr="001F0F1F" w:rsidRDefault="00AB283C" w:rsidP="0057630D">
      <w:pPr>
        <w:pStyle w:val="ScoreBulletMain"/>
      </w:pPr>
      <w:r w:rsidRPr="001F0F1F">
        <w:t xml:space="preserve">Provides </w:t>
      </w:r>
      <w:r w:rsidR="00D85CEF" w:rsidRPr="001F0F1F">
        <w:t>new or improved</w:t>
      </w:r>
      <w:r w:rsidRPr="001F0F1F">
        <w:t xml:space="preserve"> access to </w:t>
      </w:r>
      <w:r w:rsidR="00426A94" w:rsidRPr="001F0F1F">
        <w:t xml:space="preserve">public </w:t>
      </w:r>
      <w:r w:rsidRPr="001F0F1F">
        <w:t>services or facilities</w:t>
      </w:r>
    </w:p>
    <w:p w14:paraId="5EC5D9F1" w14:textId="77777777" w:rsidR="00A26A62" w:rsidRDefault="00F7131C" w:rsidP="0057630D">
      <w:pPr>
        <w:pStyle w:val="ScoreBulletMain"/>
      </w:pPr>
      <w:r w:rsidRPr="001F0F1F">
        <w:t>Supports healthy and safe neighborhoods and community</w:t>
      </w:r>
    </w:p>
    <w:p w14:paraId="6746EC28" w14:textId="77777777" w:rsidR="00EC1EB5" w:rsidRPr="001F0F1F" w:rsidRDefault="00F7131C" w:rsidP="0057630D">
      <w:pPr>
        <w:pStyle w:val="ScoreBulletMain"/>
      </w:pPr>
      <w:r w:rsidRPr="001F0F1F">
        <w:t>Contributes to overall community sustainability- economically or environmentally</w:t>
      </w:r>
    </w:p>
    <w:p w14:paraId="26DEB32B" w14:textId="77777777" w:rsidR="00F7131C" w:rsidRPr="001F0F1F" w:rsidRDefault="00105A7D" w:rsidP="0057630D">
      <w:pPr>
        <w:pStyle w:val="ScoreBulletMain"/>
      </w:pPr>
      <w:r w:rsidRPr="001F0F1F">
        <w:t>A</w:t>
      </w:r>
      <w:r w:rsidR="004A5DEE" w:rsidRPr="001F0F1F">
        <w:t xml:space="preserve">cts as stimulus for </w:t>
      </w:r>
      <w:r w:rsidR="00F7131C" w:rsidRPr="001F0F1F">
        <w:t>additional investments</w:t>
      </w:r>
    </w:p>
    <w:p w14:paraId="488C3D08" w14:textId="77777777" w:rsidR="00B35631" w:rsidRPr="001F0F1F" w:rsidRDefault="00B35631" w:rsidP="007C3AA0">
      <w:pPr>
        <w:pStyle w:val="Bullet1"/>
        <w:numPr>
          <w:ilvl w:val="0"/>
          <w:numId w:val="0"/>
        </w:numPr>
        <w:ind w:left="360"/>
        <w:jc w:val="both"/>
        <w:rPr>
          <w:i/>
          <w:sz w:val="24"/>
          <w:szCs w:val="24"/>
        </w:rPr>
      </w:pPr>
    </w:p>
    <w:p w14:paraId="470E2F87" w14:textId="77777777" w:rsidR="007C3AA0" w:rsidRPr="001F0F1F" w:rsidRDefault="007C3AA0" w:rsidP="0057630D">
      <w:pPr>
        <w:pStyle w:val="Bullet1"/>
        <w:numPr>
          <w:ilvl w:val="0"/>
          <w:numId w:val="0"/>
        </w:numPr>
        <w:ind w:left="720"/>
        <w:jc w:val="both"/>
        <w:rPr>
          <w:i/>
          <w:sz w:val="24"/>
          <w:szCs w:val="24"/>
        </w:rPr>
      </w:pPr>
      <w:r w:rsidRPr="001F0F1F">
        <w:rPr>
          <w:i/>
          <w:sz w:val="24"/>
          <w:szCs w:val="24"/>
        </w:rPr>
        <w:t>Scores based on review of above factors:</w:t>
      </w:r>
    </w:p>
    <w:p w14:paraId="06421CCC" w14:textId="77777777" w:rsidR="007C3AA0" w:rsidRPr="001F0F1F" w:rsidRDefault="007C3AA0" w:rsidP="0057630D">
      <w:pPr>
        <w:pStyle w:val="ScoreBulletSub"/>
      </w:pPr>
      <w:r w:rsidRPr="001F0F1F">
        <w:t>Significant Impact = 3</w:t>
      </w:r>
    </w:p>
    <w:p w14:paraId="31576DEA" w14:textId="77777777" w:rsidR="007C3AA0" w:rsidRPr="001F0F1F" w:rsidRDefault="007C3AA0" w:rsidP="0057630D">
      <w:pPr>
        <w:pStyle w:val="ScoreBulletSub"/>
      </w:pPr>
      <w:r w:rsidRPr="001F0F1F">
        <w:t>Moderate Impact = 2</w:t>
      </w:r>
    </w:p>
    <w:p w14:paraId="02207F81" w14:textId="77777777" w:rsidR="00AA71BD" w:rsidRPr="001F0F1F" w:rsidRDefault="007C3AA0" w:rsidP="0057630D">
      <w:pPr>
        <w:pStyle w:val="ScoreBulletSub"/>
      </w:pPr>
      <w:r w:rsidRPr="001F0F1F">
        <w:t>Lower Impact = 1</w:t>
      </w:r>
    </w:p>
    <w:p w14:paraId="33C83501" w14:textId="77777777" w:rsidR="007C3AA0" w:rsidRPr="001F0F1F" w:rsidRDefault="00D61BE7" w:rsidP="0031165F">
      <w:pPr>
        <w:pStyle w:val="ScoreHeader"/>
        <w:spacing w:before="480"/>
      </w:pPr>
      <w:r w:rsidRPr="001F0F1F">
        <w:t xml:space="preserve">Project </w:t>
      </w:r>
      <w:r w:rsidR="007C3AA0" w:rsidRPr="001F0F1F">
        <w:t>Sustainability</w:t>
      </w:r>
      <w:r w:rsidR="007C3AA0" w:rsidRPr="001F0F1F">
        <w:tab/>
        <w:t xml:space="preserve">5% </w:t>
      </w:r>
    </w:p>
    <w:p w14:paraId="22A64999" w14:textId="77777777" w:rsidR="00276751" w:rsidRPr="001F0F1F" w:rsidRDefault="007C3AA0" w:rsidP="0057630D">
      <w:pPr>
        <w:pStyle w:val="ScoreBulletMain"/>
      </w:pPr>
      <w:r w:rsidRPr="001F0F1F">
        <w:t>Extent to which improvements can be maintained</w:t>
      </w:r>
      <w:r w:rsidR="00953C66" w:rsidRPr="001F0F1F">
        <w:t xml:space="preserve"> without creating new, undue tax burdens</w:t>
      </w:r>
    </w:p>
    <w:p w14:paraId="60624214" w14:textId="77777777" w:rsidR="00105A7D" w:rsidRPr="001F0F1F" w:rsidRDefault="00E56723" w:rsidP="0057630D">
      <w:pPr>
        <w:pStyle w:val="ScoreBulletSub"/>
      </w:pPr>
      <w:r w:rsidRPr="001F0F1F">
        <w:t>Infrastructure</w:t>
      </w:r>
      <w:r w:rsidR="00105A7D" w:rsidRPr="001F0F1F">
        <w:t xml:space="preserve"> operating revenues as measured by annual rate per 6,000 gal / m</w:t>
      </w:r>
      <w:r w:rsidR="007C3AA0" w:rsidRPr="001F0F1F">
        <w:t>edian household income for applicant</w:t>
      </w:r>
      <w:r w:rsidR="00105A7D" w:rsidRPr="001F0F1F">
        <w:t xml:space="preserve"> </w:t>
      </w:r>
    </w:p>
    <w:p w14:paraId="348DEEC1" w14:textId="77777777" w:rsidR="00957370" w:rsidRPr="001F0F1F" w:rsidRDefault="00111282" w:rsidP="0057630D">
      <w:pPr>
        <w:pStyle w:val="ScoreBulletSub"/>
      </w:pPr>
      <w:r w:rsidRPr="001F0F1F">
        <w:t>R</w:t>
      </w:r>
      <w:r w:rsidR="007C3AA0" w:rsidRPr="001F0F1F">
        <w:t xml:space="preserve">ank ordered and assigned points in </w:t>
      </w:r>
      <w:r w:rsidR="00F7131C" w:rsidRPr="001F0F1F">
        <w:t xml:space="preserve">logical </w:t>
      </w:r>
      <w:r w:rsidR="007C3AA0" w:rsidRPr="001F0F1F">
        <w:t>increments</w:t>
      </w:r>
    </w:p>
    <w:p w14:paraId="440D34C2" w14:textId="77777777" w:rsidR="00957370" w:rsidRDefault="000563FC" w:rsidP="0057630D">
      <w:pPr>
        <w:pStyle w:val="ScoreBulletSub"/>
      </w:pPr>
      <w:r w:rsidRPr="001F0F1F">
        <w:t>B</w:t>
      </w:r>
      <w:r w:rsidR="007C3AA0" w:rsidRPr="001F0F1F">
        <w:t>udgets</w:t>
      </w:r>
      <w:r w:rsidR="0088259F">
        <w:rPr>
          <w:lang w:val="en-US"/>
        </w:rPr>
        <w:t>,</w:t>
      </w:r>
      <w:r w:rsidR="00105A7D" w:rsidRPr="001F0F1F">
        <w:t xml:space="preserve"> market studies</w:t>
      </w:r>
      <w:r w:rsidR="007C3AA0" w:rsidRPr="0058381B">
        <w:t xml:space="preserve"> </w:t>
      </w:r>
      <w:r w:rsidR="0088259F">
        <w:rPr>
          <w:lang w:val="en-US"/>
        </w:rPr>
        <w:t xml:space="preserve">and other documentation </w:t>
      </w:r>
      <w:r w:rsidR="007C3AA0" w:rsidRPr="0058381B">
        <w:t>indicate ability to sustain improvements</w:t>
      </w:r>
      <w:r w:rsidR="00CE42EB">
        <w:t xml:space="preserve"> </w:t>
      </w:r>
      <w:r w:rsidR="009C2E66">
        <w:t xml:space="preserve">and </w:t>
      </w:r>
      <w:r w:rsidR="004B5B29">
        <w:t>does not result in</w:t>
      </w:r>
      <w:r w:rsidR="009C2E66">
        <w:t xml:space="preserve"> new</w:t>
      </w:r>
      <w:r w:rsidR="002C2C7E">
        <w:t>, undue</w:t>
      </w:r>
      <w:r w:rsidR="009C2E66">
        <w:t xml:space="preserve"> operating burden</w:t>
      </w:r>
    </w:p>
    <w:p w14:paraId="49ADDDBA" w14:textId="77777777" w:rsidR="007C3AA0" w:rsidRDefault="007C3AA0" w:rsidP="0057630D">
      <w:pPr>
        <w:pStyle w:val="Bullet1"/>
        <w:numPr>
          <w:ilvl w:val="0"/>
          <w:numId w:val="0"/>
        </w:numPr>
        <w:spacing w:before="120"/>
        <w:ind w:left="720"/>
        <w:jc w:val="both"/>
        <w:rPr>
          <w:i/>
          <w:sz w:val="24"/>
          <w:szCs w:val="24"/>
        </w:rPr>
      </w:pPr>
      <w:r w:rsidRPr="0003160C">
        <w:rPr>
          <w:i/>
          <w:sz w:val="24"/>
          <w:szCs w:val="24"/>
        </w:rPr>
        <w:t>Scores based on review of above factors:</w:t>
      </w:r>
    </w:p>
    <w:p w14:paraId="2E200DF3" w14:textId="77777777" w:rsidR="007C3AA0" w:rsidRDefault="007C3AA0" w:rsidP="0057630D">
      <w:pPr>
        <w:pStyle w:val="ScoreBulletSub"/>
      </w:pPr>
      <w:r>
        <w:t>Ability to maintain documented = 3</w:t>
      </w:r>
    </w:p>
    <w:p w14:paraId="1EC3F3E7" w14:textId="77777777" w:rsidR="007C3AA0" w:rsidRDefault="007C3AA0" w:rsidP="0057630D">
      <w:pPr>
        <w:pStyle w:val="ScoreBulletSub"/>
      </w:pPr>
      <w:r>
        <w:t>Some ability = 2</w:t>
      </w:r>
    </w:p>
    <w:p w14:paraId="5E70A97A" w14:textId="77777777" w:rsidR="007C3AA0" w:rsidRPr="00C85013" w:rsidRDefault="007C3AA0" w:rsidP="0057630D">
      <w:pPr>
        <w:pStyle w:val="ScoreBulletSub"/>
      </w:pPr>
      <w:r>
        <w:t>Limited ability = 1</w:t>
      </w:r>
    </w:p>
    <w:p w14:paraId="23228EE1" w14:textId="77777777" w:rsidR="007C3AA0" w:rsidRPr="004A3CD0" w:rsidRDefault="007C3AA0" w:rsidP="002046BF">
      <w:pPr>
        <w:pStyle w:val="ScoreHeader"/>
      </w:pPr>
      <w:r>
        <w:t>S</w:t>
      </w:r>
      <w:r w:rsidR="00335233">
        <w:t>tate Priorities</w:t>
      </w:r>
      <w:r w:rsidR="00335233">
        <w:tab/>
      </w:r>
      <w:r w:rsidR="00F7131C">
        <w:t>10</w:t>
      </w:r>
      <w:r w:rsidRPr="004A3CD0">
        <w:t>%</w:t>
      </w:r>
      <w:r>
        <w:t xml:space="preserve"> </w:t>
      </w:r>
    </w:p>
    <w:p w14:paraId="7FD0143E" w14:textId="77777777" w:rsidR="007C3AA0" w:rsidRPr="0057630D" w:rsidRDefault="007C3AA0" w:rsidP="0057630D">
      <w:pPr>
        <w:pStyle w:val="ScoreBulletMain"/>
      </w:pPr>
      <w:r w:rsidRPr="0057630D">
        <w:t xml:space="preserve">Extent to which project </w:t>
      </w:r>
      <w:r w:rsidR="001C7FD3">
        <w:t xml:space="preserve">is consistent with </w:t>
      </w:r>
      <w:r w:rsidRPr="0057630D">
        <w:t>state priorities as listed under each program category.</w:t>
      </w:r>
    </w:p>
    <w:p w14:paraId="6CA58BCD" w14:textId="04DA2C1F" w:rsidR="00D61BE7" w:rsidRPr="00D61BE7" w:rsidRDefault="003E128A" w:rsidP="00D75B68">
      <w:pPr>
        <w:pStyle w:val="Bullet1"/>
        <w:numPr>
          <w:ilvl w:val="0"/>
          <w:numId w:val="0"/>
        </w:numPr>
        <w:spacing w:before="240"/>
        <w:ind w:left="720" w:hanging="360"/>
        <w:jc w:val="both"/>
        <w:rPr>
          <w:i/>
          <w:sz w:val="24"/>
          <w:szCs w:val="24"/>
        </w:rPr>
      </w:pPr>
      <w:r>
        <w:rPr>
          <w:i/>
          <w:sz w:val="24"/>
          <w:szCs w:val="24"/>
        </w:rPr>
        <w:tab/>
      </w:r>
      <w:r w:rsidR="00D61BE7">
        <w:rPr>
          <w:i/>
          <w:sz w:val="24"/>
          <w:szCs w:val="24"/>
        </w:rPr>
        <w:t>Community Infrastructure</w:t>
      </w:r>
      <w:r w:rsidR="004B5B29">
        <w:rPr>
          <w:i/>
          <w:sz w:val="24"/>
          <w:szCs w:val="24"/>
        </w:rPr>
        <w:t>,</w:t>
      </w:r>
      <w:r w:rsidR="00D61BE7">
        <w:rPr>
          <w:i/>
          <w:sz w:val="24"/>
          <w:szCs w:val="24"/>
        </w:rPr>
        <w:t xml:space="preserve"> Community Enrichment</w:t>
      </w:r>
      <w:r w:rsidR="00B72F14">
        <w:rPr>
          <w:i/>
          <w:sz w:val="24"/>
          <w:szCs w:val="24"/>
        </w:rPr>
        <w:t xml:space="preserve">, </w:t>
      </w:r>
      <w:r w:rsidR="00574759">
        <w:rPr>
          <w:i/>
          <w:sz w:val="24"/>
          <w:szCs w:val="24"/>
        </w:rPr>
        <w:t xml:space="preserve"> </w:t>
      </w:r>
      <w:r w:rsidR="002C34CF">
        <w:rPr>
          <w:i/>
          <w:sz w:val="24"/>
          <w:szCs w:val="24"/>
        </w:rPr>
        <w:t>Local Priorities</w:t>
      </w:r>
      <w:r w:rsidR="007C3AA0" w:rsidRPr="0003160C">
        <w:rPr>
          <w:i/>
          <w:sz w:val="24"/>
          <w:szCs w:val="24"/>
        </w:rPr>
        <w:t>:</w:t>
      </w:r>
    </w:p>
    <w:p w14:paraId="25F12C4A" w14:textId="77777777" w:rsidR="007C3AA0" w:rsidRPr="0057630D" w:rsidRDefault="007C3AA0" w:rsidP="0057630D">
      <w:pPr>
        <w:pStyle w:val="ScoreBulletSub"/>
      </w:pPr>
      <w:r w:rsidRPr="0057630D">
        <w:t>First priority projects = 3</w:t>
      </w:r>
    </w:p>
    <w:p w14:paraId="303CCD41" w14:textId="77777777" w:rsidR="007C3AA0" w:rsidRDefault="00D61BE7" w:rsidP="0057630D">
      <w:pPr>
        <w:pStyle w:val="ScoreBulletSub"/>
      </w:pPr>
      <w:r>
        <w:lastRenderedPageBreak/>
        <w:t xml:space="preserve">Second priority </w:t>
      </w:r>
      <w:r w:rsidR="007C3AA0">
        <w:t>projects = 2</w:t>
      </w:r>
    </w:p>
    <w:p w14:paraId="279AFD33" w14:textId="77777777" w:rsidR="007C3AA0" w:rsidRDefault="007C3AA0" w:rsidP="0057630D">
      <w:pPr>
        <w:pStyle w:val="ScoreBulletSub"/>
      </w:pPr>
      <w:r>
        <w:t xml:space="preserve">Third </w:t>
      </w:r>
      <w:r w:rsidR="0036427C">
        <w:t xml:space="preserve">priority </w:t>
      </w:r>
      <w:r>
        <w:t>projects = 1</w:t>
      </w:r>
    </w:p>
    <w:p w14:paraId="7FF0450C" w14:textId="77777777" w:rsidR="00941BD6" w:rsidRDefault="00941BD6" w:rsidP="00715243">
      <w:pPr>
        <w:pStyle w:val="Bullet1"/>
        <w:widowControl/>
        <w:numPr>
          <w:ilvl w:val="0"/>
          <w:numId w:val="0"/>
        </w:numPr>
        <w:overflowPunct/>
        <w:autoSpaceDE/>
        <w:autoSpaceDN/>
        <w:adjustRightInd/>
        <w:spacing w:before="60"/>
        <w:textAlignment w:val="auto"/>
        <w:rPr>
          <w:i/>
          <w:sz w:val="24"/>
          <w:szCs w:val="24"/>
        </w:rPr>
      </w:pPr>
    </w:p>
    <w:p w14:paraId="3F95CE0D" w14:textId="77777777" w:rsidR="00574759" w:rsidRDefault="00574759" w:rsidP="00D75B68">
      <w:pPr>
        <w:pStyle w:val="Bullet1"/>
        <w:widowControl/>
        <w:numPr>
          <w:ilvl w:val="0"/>
          <w:numId w:val="0"/>
        </w:numPr>
        <w:overflowPunct/>
        <w:autoSpaceDE/>
        <w:autoSpaceDN/>
        <w:adjustRightInd/>
        <w:spacing w:before="60"/>
        <w:ind w:left="720" w:hanging="360"/>
        <w:textAlignment w:val="auto"/>
        <w:rPr>
          <w:i/>
          <w:sz w:val="24"/>
          <w:szCs w:val="24"/>
        </w:rPr>
      </w:pPr>
      <w:r>
        <w:rPr>
          <w:i/>
          <w:sz w:val="24"/>
          <w:szCs w:val="24"/>
        </w:rPr>
        <w:tab/>
        <w:t>Ready to Go priorities will be based on Community Infrastructure or Community Enrichment priorities, as applicable</w:t>
      </w:r>
    </w:p>
    <w:p w14:paraId="710EA9C1" w14:textId="77777777" w:rsidR="007C3AA0" w:rsidRPr="004A3CD0" w:rsidRDefault="007C3AA0" w:rsidP="002046BF">
      <w:pPr>
        <w:pStyle w:val="ScoreHeader"/>
      </w:pPr>
      <w:r w:rsidRPr="004A3CD0">
        <w:t>Capacity</w:t>
      </w:r>
      <w:r w:rsidRPr="004A3CD0">
        <w:tab/>
        <w:t>10%</w:t>
      </w:r>
    </w:p>
    <w:p w14:paraId="5A933391" w14:textId="77777777" w:rsidR="007C3AA0" w:rsidRDefault="007C3AA0" w:rsidP="007C3AA0">
      <w:pPr>
        <w:pStyle w:val="BodyText"/>
      </w:pPr>
      <w:r w:rsidRPr="004A3CD0">
        <w:t>First time applicant or previous recipient with grants closed over t</w:t>
      </w:r>
      <w:r w:rsidR="00335233">
        <w:t>hree</w:t>
      </w:r>
      <w:r w:rsidRPr="004A3CD0">
        <w:t xml:space="preserve"> years will receive maximum points.</w:t>
      </w:r>
    </w:p>
    <w:p w14:paraId="5C2E3597" w14:textId="77777777" w:rsidR="007C3AA0" w:rsidRPr="004A3CD0" w:rsidRDefault="007C3AA0" w:rsidP="007C3AA0">
      <w:pPr>
        <w:pStyle w:val="BodyText"/>
      </w:pPr>
    </w:p>
    <w:p w14:paraId="73CABB9E" w14:textId="77777777" w:rsidR="007C3AA0" w:rsidRPr="004A3CD0" w:rsidRDefault="007C3AA0" w:rsidP="007C3AA0">
      <w:pPr>
        <w:pStyle w:val="BodyText"/>
      </w:pPr>
      <w:r w:rsidRPr="004A3CD0">
        <w:t>Previous applicants - Performance on grants in last t</w:t>
      </w:r>
      <w:r w:rsidR="00335233">
        <w:t>hree</w:t>
      </w:r>
      <w:r w:rsidRPr="004A3CD0">
        <w:t xml:space="preserve"> years</w:t>
      </w:r>
      <w:r>
        <w:t>:</w:t>
      </w:r>
    </w:p>
    <w:p w14:paraId="438C8D77" w14:textId="77777777" w:rsidR="007C3AA0" w:rsidRPr="00BB08EE" w:rsidRDefault="007C3AA0" w:rsidP="0057630D">
      <w:pPr>
        <w:pStyle w:val="ScoreBulletMain"/>
      </w:pPr>
      <w:r w:rsidRPr="00BB08EE">
        <w:t>Compliance with program requirements (monitoring</w:t>
      </w:r>
      <w:r w:rsidR="005919AA">
        <w:t xml:space="preserve"> and match</w:t>
      </w:r>
      <w:r w:rsidR="00E53E13">
        <w:t xml:space="preserve"> </w:t>
      </w:r>
      <w:r w:rsidR="005919AA">
        <w:t>commitment</w:t>
      </w:r>
      <w:r w:rsidRPr="00BB08EE">
        <w:t xml:space="preserve">) </w:t>
      </w:r>
      <w:r w:rsidRPr="00BB08EE">
        <w:rPr>
          <w:rFonts w:ascii="Franklin Gothic Heavy" w:hAnsi="Franklin Gothic Heavy"/>
        </w:rPr>
        <w:t>(3%)</w:t>
      </w:r>
    </w:p>
    <w:p w14:paraId="021BEBD2" w14:textId="77777777" w:rsidR="007C3AA0" w:rsidRPr="0058381B" w:rsidRDefault="007C3AA0" w:rsidP="007C3AA0">
      <w:pPr>
        <w:pStyle w:val="Bullet2"/>
      </w:pPr>
      <w:r w:rsidRPr="0058381B">
        <w:t>All requirements met on all applicable grants</w:t>
      </w:r>
      <w:r>
        <w:t xml:space="preserve"> = 3</w:t>
      </w:r>
    </w:p>
    <w:p w14:paraId="043285C0" w14:textId="77777777" w:rsidR="007C3AA0" w:rsidRPr="0058381B" w:rsidRDefault="007C3AA0" w:rsidP="007C3AA0">
      <w:pPr>
        <w:pStyle w:val="Bullet2"/>
      </w:pPr>
      <w:r w:rsidRPr="0058381B">
        <w:t>Requirements are generally m</w:t>
      </w:r>
      <w:r>
        <w:t>et (minor issues) on all grants = 2</w:t>
      </w:r>
    </w:p>
    <w:p w14:paraId="2141BB8B" w14:textId="77777777" w:rsidR="007C3AA0" w:rsidRPr="00CA5A73" w:rsidRDefault="007C3AA0" w:rsidP="007C3AA0">
      <w:pPr>
        <w:pStyle w:val="Bullet2"/>
      </w:pPr>
      <w:r w:rsidRPr="0058381B">
        <w:t>Significant requirements not met on 1 or more grants</w:t>
      </w:r>
      <w:r>
        <w:t xml:space="preserve"> = 1</w:t>
      </w:r>
    </w:p>
    <w:p w14:paraId="71C49515" w14:textId="77777777" w:rsidR="00FC4E03" w:rsidRPr="00BB08EE" w:rsidRDefault="00FC4E03" w:rsidP="00FC4E03">
      <w:pPr>
        <w:pStyle w:val="BulletedScoringCriteria"/>
        <w:spacing w:before="120"/>
      </w:pPr>
      <w:r w:rsidRPr="00BB08EE">
        <w:t>Achieved program benefits</w:t>
      </w:r>
      <w:r w:rsidRPr="007D29B3">
        <w:t xml:space="preserve"> </w:t>
      </w:r>
      <w:r w:rsidRPr="007D29B3">
        <w:rPr>
          <w:rFonts w:ascii="Franklin Gothic Heavy" w:hAnsi="Franklin Gothic Heavy"/>
        </w:rPr>
        <w:t>(3%)</w:t>
      </w:r>
    </w:p>
    <w:p w14:paraId="1D98302B" w14:textId="77777777" w:rsidR="00FC4E03" w:rsidRPr="00D033C6" w:rsidRDefault="00FC4E03" w:rsidP="00FC4E03">
      <w:pPr>
        <w:pStyle w:val="Bullet2"/>
      </w:pPr>
      <w:r w:rsidRPr="00D033C6">
        <w:t>Total and LMI benefit numbers exceeded or on target for all grants</w:t>
      </w:r>
      <w:r>
        <w:t xml:space="preserve"> = 3</w:t>
      </w:r>
    </w:p>
    <w:p w14:paraId="727CA248" w14:textId="77777777" w:rsidR="00FC4E03" w:rsidRPr="00D033C6" w:rsidRDefault="00FC4E03" w:rsidP="00FC4E03">
      <w:pPr>
        <w:pStyle w:val="Bullet2"/>
      </w:pPr>
      <w:r w:rsidRPr="00D033C6">
        <w:t xml:space="preserve">Benefit reduced </w:t>
      </w:r>
      <w:r w:rsidR="001B23F4">
        <w:rPr>
          <w:lang w:val="en-US"/>
        </w:rPr>
        <w:t>by</w:t>
      </w:r>
      <w:r w:rsidRPr="00D033C6">
        <w:t xml:space="preserve"> 10%</w:t>
      </w:r>
      <w:r w:rsidR="001B23F4">
        <w:rPr>
          <w:lang w:val="en-US"/>
        </w:rPr>
        <w:t xml:space="preserve"> or less</w:t>
      </w:r>
      <w:r>
        <w:t xml:space="preserve"> = 2</w:t>
      </w:r>
    </w:p>
    <w:p w14:paraId="326A9AFE" w14:textId="77777777" w:rsidR="00FC4E03" w:rsidRPr="00D033C6" w:rsidRDefault="00FC4E03" w:rsidP="00FC4E03">
      <w:pPr>
        <w:pStyle w:val="Bullet2"/>
      </w:pPr>
      <w:r w:rsidRPr="00D033C6">
        <w:t>Benefit reduced more than 10%</w:t>
      </w:r>
      <w:r>
        <w:t xml:space="preserve"> = 1</w:t>
      </w:r>
    </w:p>
    <w:p w14:paraId="3EC8DF69" w14:textId="77777777" w:rsidR="00FC4E03" w:rsidRPr="00BB08EE" w:rsidRDefault="00FC4E03" w:rsidP="00FC4E03">
      <w:pPr>
        <w:pStyle w:val="BulletedScoringCriteria"/>
        <w:spacing w:before="120"/>
      </w:pPr>
      <w:r w:rsidRPr="00BB08EE">
        <w:t xml:space="preserve">Timely completion of projects </w:t>
      </w:r>
      <w:r w:rsidRPr="007D29B3">
        <w:rPr>
          <w:rFonts w:ascii="Franklin Gothic Heavy" w:hAnsi="Franklin Gothic Heavy"/>
        </w:rPr>
        <w:t>(3%)</w:t>
      </w:r>
    </w:p>
    <w:p w14:paraId="3B2F9084" w14:textId="77777777" w:rsidR="00FC4E03" w:rsidRPr="00D033C6" w:rsidRDefault="00FC4E03" w:rsidP="00FC4E03">
      <w:pPr>
        <w:pStyle w:val="Bullet2"/>
      </w:pPr>
      <w:r w:rsidRPr="00D033C6">
        <w:t>All proj</w:t>
      </w:r>
      <w:r>
        <w:t>ects completed within 24 months = 3</w:t>
      </w:r>
    </w:p>
    <w:p w14:paraId="2AC7FBD6" w14:textId="77777777" w:rsidR="00FC4E03" w:rsidRPr="00D033C6" w:rsidRDefault="00FC4E03" w:rsidP="00FC4E03">
      <w:pPr>
        <w:pStyle w:val="Bullet2"/>
      </w:pPr>
      <w:r w:rsidRPr="00D033C6">
        <w:t>All projects completed within 30 months</w:t>
      </w:r>
      <w:r>
        <w:t xml:space="preserve"> = 2</w:t>
      </w:r>
    </w:p>
    <w:p w14:paraId="5514F916" w14:textId="77777777" w:rsidR="00FC4E03" w:rsidRPr="00D033C6" w:rsidRDefault="00FC4E03" w:rsidP="00FC4E03">
      <w:pPr>
        <w:pStyle w:val="Bullet2"/>
      </w:pPr>
      <w:r w:rsidRPr="00D033C6">
        <w:t>All projects completed within 3 years</w:t>
      </w:r>
      <w:r>
        <w:t xml:space="preserve"> = 1</w:t>
      </w:r>
    </w:p>
    <w:p w14:paraId="20A4B19D" w14:textId="77777777" w:rsidR="007C3AA0" w:rsidRPr="00BB08EE" w:rsidRDefault="007C3AA0" w:rsidP="003E128A">
      <w:pPr>
        <w:pStyle w:val="BulletedScoringCriteria"/>
        <w:spacing w:before="120"/>
      </w:pPr>
      <w:r w:rsidRPr="00BB08EE">
        <w:t xml:space="preserve">Timely submission of reports and information </w:t>
      </w:r>
      <w:r w:rsidRPr="007D29B3">
        <w:rPr>
          <w:rFonts w:ascii="Franklin Gothic Heavy" w:hAnsi="Franklin Gothic Heavy"/>
        </w:rPr>
        <w:t>(1%)</w:t>
      </w:r>
    </w:p>
    <w:p w14:paraId="693E87BC" w14:textId="77777777" w:rsidR="007C3AA0" w:rsidRPr="00D033C6" w:rsidRDefault="007C3AA0" w:rsidP="007C3AA0">
      <w:pPr>
        <w:pStyle w:val="Bullet2"/>
      </w:pPr>
      <w:r w:rsidRPr="00D033C6">
        <w:t>All information submi</w:t>
      </w:r>
      <w:r>
        <w:t>tted within required timeframes = 3</w:t>
      </w:r>
    </w:p>
    <w:p w14:paraId="1EEA1DE0" w14:textId="77777777" w:rsidR="007C3AA0" w:rsidRPr="00D033C6" w:rsidRDefault="007C3AA0" w:rsidP="007C3AA0">
      <w:pPr>
        <w:pStyle w:val="Bullet2"/>
      </w:pPr>
      <w:r w:rsidRPr="00D033C6">
        <w:t>Average of less than 30 days late</w:t>
      </w:r>
      <w:r>
        <w:t xml:space="preserve"> = 2</w:t>
      </w:r>
    </w:p>
    <w:p w14:paraId="1688E767" w14:textId="77777777" w:rsidR="00AF7658" w:rsidRDefault="007C3AA0" w:rsidP="0053080F">
      <w:pPr>
        <w:pStyle w:val="Bullet2"/>
      </w:pPr>
      <w:r w:rsidRPr="00D033C6">
        <w:t>Average exceeds 30 days</w:t>
      </w:r>
      <w:r>
        <w:t xml:space="preserve"> = 1</w:t>
      </w:r>
    </w:p>
    <w:p w14:paraId="1D2229C5" w14:textId="77777777" w:rsidR="001E1672" w:rsidRPr="004A3CD0" w:rsidRDefault="001E1672" w:rsidP="001E1672">
      <w:pPr>
        <w:pStyle w:val="ScoreHeader"/>
      </w:pPr>
      <w:r>
        <w:t>Opportunity Zone</w:t>
      </w:r>
      <w:r w:rsidR="001E1355">
        <w:t xml:space="preserve"> Bonus Points</w:t>
      </w:r>
      <w:r w:rsidRPr="004A3CD0">
        <w:tab/>
      </w:r>
      <w:r>
        <w:t>10 points</w:t>
      </w:r>
    </w:p>
    <w:p w14:paraId="42A92BC1" w14:textId="77777777" w:rsidR="001E1672" w:rsidRDefault="001E1672" w:rsidP="001E1672">
      <w:pPr>
        <w:pStyle w:val="BodyText"/>
      </w:pPr>
      <w:r>
        <w:t xml:space="preserve">Projects located in Opportunity Zones will </w:t>
      </w:r>
      <w:r w:rsidR="000B44E8">
        <w:t>receive</w:t>
      </w:r>
      <w:r>
        <w:t xml:space="preserve"> an additional 10 </w:t>
      </w:r>
      <w:r w:rsidR="001E1355">
        <w:t xml:space="preserve">bonus </w:t>
      </w:r>
      <w:r>
        <w:t>points.</w:t>
      </w:r>
      <w:r w:rsidR="001E1355">
        <w:t xml:space="preserve">  For more information about SC Opportunity Zones, and to verify the location in an Opportunity Zone, go to www.</w:t>
      </w:r>
      <w:hyperlink r:id="rId19" w:history="1">
        <w:r w:rsidR="001E1355">
          <w:rPr>
            <w:rStyle w:val="Hyperlink"/>
          </w:rPr>
          <w:t>http://scopportunityzone.com/</w:t>
        </w:r>
      </w:hyperlink>
    </w:p>
    <w:p w14:paraId="6F006600" w14:textId="77777777" w:rsidR="001E1672" w:rsidRDefault="001E1672" w:rsidP="00FF1A2C">
      <w:pPr>
        <w:pStyle w:val="Bullet2"/>
        <w:numPr>
          <w:ilvl w:val="0"/>
          <w:numId w:val="0"/>
        </w:numPr>
        <w:rPr>
          <w:lang w:val="en-US"/>
        </w:rPr>
      </w:pPr>
    </w:p>
    <w:p w14:paraId="7D55F480" w14:textId="77777777" w:rsidR="00184EBD" w:rsidRDefault="00184EBD" w:rsidP="0053080F">
      <w:pPr>
        <w:pStyle w:val="BodyText"/>
      </w:pPr>
      <w:r w:rsidRPr="0053080F">
        <w:t xml:space="preserve">Applications will be scored against those </w:t>
      </w:r>
      <w:r w:rsidR="00957370">
        <w:t xml:space="preserve">submitted in the same program. </w:t>
      </w:r>
      <w:r w:rsidRPr="0053080F">
        <w:t xml:space="preserve">For example, Community Infrastructure applications will be compared and scored against each other. The Selection Criteria will be rated and assigned a score from 1 to 3 </w:t>
      </w:r>
      <w:r w:rsidR="004B3B4A">
        <w:t>where</w:t>
      </w:r>
      <w:r w:rsidRPr="0053080F">
        <w:t xml:space="preserve"> 3</w:t>
      </w:r>
      <w:r w:rsidR="00957370">
        <w:t> </w:t>
      </w:r>
      <w:r w:rsidR="004B3B4A">
        <w:t>=</w:t>
      </w:r>
      <w:r w:rsidR="00957370">
        <w:t> </w:t>
      </w:r>
      <w:r w:rsidRPr="0053080F">
        <w:t>the best response, 2</w:t>
      </w:r>
      <w:r w:rsidR="00957370">
        <w:t> </w:t>
      </w:r>
      <w:r w:rsidRPr="0053080F">
        <w:t>=</w:t>
      </w:r>
      <w:r w:rsidR="00957370">
        <w:t> </w:t>
      </w:r>
      <w:r w:rsidRPr="0053080F">
        <w:t>average, and 1</w:t>
      </w:r>
      <w:r w:rsidR="00957370">
        <w:t> </w:t>
      </w:r>
      <w:r w:rsidRPr="0053080F">
        <w:t>=</w:t>
      </w:r>
      <w:r w:rsidR="00957370">
        <w:t xml:space="preserve"> less than satisfactory. </w:t>
      </w:r>
      <w:r w:rsidR="00E35163">
        <w:t xml:space="preserve">Zero points may be awarded to a criterion if minimum program requirements are not addressed. </w:t>
      </w:r>
      <w:r w:rsidRPr="0053080F">
        <w:t>The point assignment will be multiplied by the weight of eac</w:t>
      </w:r>
      <w:r w:rsidR="00957370">
        <w:t xml:space="preserve">h criterion to obtain a score. </w:t>
      </w:r>
      <w:r w:rsidRPr="0053080F">
        <w:t>There is a maximum score of 300 points.</w:t>
      </w:r>
    </w:p>
    <w:p w14:paraId="6591BEEB" w14:textId="77777777" w:rsidR="00D75B68" w:rsidRPr="0053080F" w:rsidRDefault="00D75B68" w:rsidP="0053080F">
      <w:pPr>
        <w:pStyle w:val="BodyText"/>
      </w:pPr>
    </w:p>
    <w:p w14:paraId="23563748" w14:textId="758864ED" w:rsidR="00184EBD" w:rsidRDefault="00B66463" w:rsidP="0053080F">
      <w:pPr>
        <w:pStyle w:val="BodyText"/>
      </w:pPr>
      <w:r>
        <w:t>The State CDBG Program</w:t>
      </w:r>
      <w:r w:rsidRPr="0053080F">
        <w:t xml:space="preserve"> </w:t>
      </w:r>
      <w:r w:rsidR="00184EBD" w:rsidRPr="0053080F">
        <w:t>may utilize the expertise of other appropriate State agencies, such as the SC Department of Health and Environmental Control</w:t>
      </w:r>
      <w:r w:rsidR="00D61BE7">
        <w:t>,</w:t>
      </w:r>
      <w:r w:rsidR="00184EBD" w:rsidRPr="0053080F">
        <w:t xml:space="preserve"> the SC </w:t>
      </w:r>
      <w:r w:rsidR="00455D1D">
        <w:t>Department of Administration</w:t>
      </w:r>
      <w:r w:rsidR="00184EBD" w:rsidRPr="0053080F">
        <w:t xml:space="preserve">, </w:t>
      </w:r>
      <w:r w:rsidR="008A78D3">
        <w:t xml:space="preserve">or the State Housing and Finance Development Authority </w:t>
      </w:r>
      <w:r w:rsidR="00184EBD" w:rsidRPr="0053080F">
        <w:t>in making a determination regarding the above f</w:t>
      </w:r>
      <w:r w:rsidR="00957370">
        <w:t xml:space="preserve">actors. </w:t>
      </w:r>
      <w:r>
        <w:t>the State CDBG Program</w:t>
      </w:r>
      <w:r w:rsidRPr="0053080F">
        <w:t xml:space="preserve"> </w:t>
      </w:r>
      <w:r w:rsidR="00184EBD" w:rsidRPr="0053080F">
        <w:t>may request additional information from the applicant or other sources as necessary to evaluate the app</w:t>
      </w:r>
      <w:r w:rsidR="00957370">
        <w:t xml:space="preserve">lication and proposed project. </w:t>
      </w:r>
      <w:r>
        <w:t xml:space="preserve">The State CDBG Program </w:t>
      </w:r>
      <w:r w:rsidR="00400CEB">
        <w:t xml:space="preserve">reserves the right to negotiate or require changes in activities or funding in order to </w:t>
      </w:r>
      <w:r w:rsidR="00400CEB">
        <w:lastRenderedPageBreak/>
        <w:t xml:space="preserve">achieve program objectives. </w:t>
      </w:r>
      <w:r w:rsidR="00184EBD" w:rsidRPr="0053080F">
        <w:t>For water and sewer projects, the State may require that rates be adjusted to appropriate levels to ensure adequate funding for operation and maintenance or to facilitate borrowing a portion of project costs if such rate increases are reasonable and appropriate.</w:t>
      </w:r>
    </w:p>
    <w:p w14:paraId="3D938CF0" w14:textId="77777777" w:rsidR="00D75B68" w:rsidRPr="0053080F" w:rsidRDefault="00D75B68" w:rsidP="0053080F">
      <w:pPr>
        <w:pStyle w:val="BodyText"/>
      </w:pPr>
    </w:p>
    <w:p w14:paraId="6092AD79" w14:textId="77777777" w:rsidR="00184EBD" w:rsidRPr="0053080F" w:rsidRDefault="00184EBD" w:rsidP="0053080F">
      <w:pPr>
        <w:pStyle w:val="BodyText"/>
      </w:pPr>
      <w:r w:rsidRPr="0053080F">
        <w:t xml:space="preserve">In the event of a tie where there are more applications under consideration for funding than there are funds available, preference will be given first to those applications </w:t>
      </w:r>
      <w:r w:rsidR="003F0758">
        <w:t xml:space="preserve">addressing the highest state priorities and second, </w:t>
      </w:r>
      <w:r w:rsidRPr="0053080F">
        <w:t>to those w</w:t>
      </w:r>
      <w:r w:rsidR="00957370">
        <w:t xml:space="preserve">ith the highest Outcome score. </w:t>
      </w:r>
      <w:r w:rsidRPr="0053080F">
        <w:t>If there continues to be a tie the one that benefits the most LMI perso</w:t>
      </w:r>
      <w:r w:rsidR="00957370">
        <w:t xml:space="preserve">ns will be funded. </w:t>
      </w:r>
      <w:r w:rsidRPr="0053080F">
        <w:t>The highest scoring projects determined to be fundable will be recommended to the Secretary of the SC Depa</w:t>
      </w:r>
      <w:r w:rsidR="006170EF">
        <w:t>rtment of Commerce</w:t>
      </w:r>
      <w:r w:rsidR="00826DE3">
        <w:t>,</w:t>
      </w:r>
      <w:r w:rsidR="006170EF">
        <w:t xml:space="preserve"> </w:t>
      </w:r>
      <w:r w:rsidR="00826DE3">
        <w:t xml:space="preserve">or his designee, </w:t>
      </w:r>
      <w:r w:rsidR="006170EF">
        <w:t>for funding</w:t>
      </w:r>
      <w:r w:rsidR="0082412C">
        <w:t xml:space="preserve"> based on the amount of funds available</w:t>
      </w:r>
      <w:r w:rsidR="006170EF">
        <w:t>.</w:t>
      </w:r>
      <w:r w:rsidR="00DB79A3">
        <w:t xml:space="preserve"> </w:t>
      </w:r>
      <w:r w:rsidR="00826DE3">
        <w:t>Projects generally should score at least 175 points to be considered for funding but such projects are not guaranteed funding.</w:t>
      </w:r>
      <w:r w:rsidR="00957370">
        <w:t xml:space="preserve"> </w:t>
      </w:r>
      <w:r w:rsidR="006170EF">
        <w:t>The Secretary</w:t>
      </w:r>
      <w:r w:rsidR="00826DE3">
        <w:t>, or his designee,</w:t>
      </w:r>
      <w:r w:rsidR="006170EF">
        <w:t xml:space="preserve"> will make final funding determinations based on a review of the projects</w:t>
      </w:r>
      <w:r w:rsidR="00D10E59">
        <w:t xml:space="preserve"> utilizing the</w:t>
      </w:r>
      <w:r w:rsidR="006170EF">
        <w:t xml:space="preserve"> selection criteria</w:t>
      </w:r>
      <w:r w:rsidR="003F0758">
        <w:t xml:space="preserve"> and that best meet Department objectives</w:t>
      </w:r>
      <w:r w:rsidR="006170EF">
        <w:t>.</w:t>
      </w:r>
    </w:p>
    <w:p w14:paraId="7615F670" w14:textId="77777777" w:rsidR="00184EBD" w:rsidRPr="0053080F" w:rsidRDefault="00184EBD" w:rsidP="0053080F">
      <w:pPr>
        <w:pStyle w:val="BodyText"/>
      </w:pPr>
    </w:p>
    <w:p w14:paraId="439C0DB7" w14:textId="4C6D499E" w:rsidR="00184EBD" w:rsidRDefault="00B66463" w:rsidP="0053080F">
      <w:pPr>
        <w:pStyle w:val="BodyText"/>
      </w:pPr>
      <w:r>
        <w:t>The State CDBG Program</w:t>
      </w:r>
      <w:r w:rsidRPr="0053080F">
        <w:t xml:space="preserve"> </w:t>
      </w:r>
      <w:r w:rsidR="00184EBD" w:rsidRPr="0053080F">
        <w:t>may make commitments for funding from future rounds, or any additiona</w:t>
      </w:r>
      <w:r w:rsidR="00335233">
        <w:t xml:space="preserve">l allocations, reallocations, </w:t>
      </w:r>
      <w:r w:rsidR="00184EBD" w:rsidRPr="0053080F">
        <w:t>recaptured</w:t>
      </w:r>
      <w:r w:rsidR="00335233">
        <w:t xml:space="preserve"> or remaining</w:t>
      </w:r>
      <w:r w:rsidR="00184EBD" w:rsidRPr="0053080F">
        <w:t xml:space="preserve"> funds, to projects </w:t>
      </w:r>
      <w:r w:rsidR="00957370">
        <w:t>from this program year</w:t>
      </w:r>
      <w:r w:rsidR="001F24CF">
        <w:t xml:space="preserve"> which are determined by the Secretary</w:t>
      </w:r>
      <w:r w:rsidR="00826DE3">
        <w:t>, or his designee,</w:t>
      </w:r>
      <w:r w:rsidR="001F24CF">
        <w:t xml:space="preserve"> to meet Department objectives</w:t>
      </w:r>
      <w:r w:rsidR="00957370">
        <w:t xml:space="preserve">. </w:t>
      </w:r>
      <w:r>
        <w:t>The State CDBG Program</w:t>
      </w:r>
      <w:r w:rsidRPr="0053080F">
        <w:t xml:space="preserve"> </w:t>
      </w:r>
      <w:r w:rsidR="00184EBD" w:rsidRPr="0053080F">
        <w:t>may also make a commitment to a project and/or partially fund a project (i.e.</w:t>
      </w:r>
      <w:r w:rsidR="00270325">
        <w:t>,</w:t>
      </w:r>
      <w:r w:rsidR="00184EBD" w:rsidRPr="0053080F">
        <w:t xml:space="preserve"> for ERR, acquisition, engineering) that scores sufficiently but is not ready due to </w:t>
      </w:r>
      <w:r w:rsidR="003E4173">
        <w:t xml:space="preserve">design, </w:t>
      </w:r>
      <w:r w:rsidR="00184EBD" w:rsidRPr="0053080F">
        <w:t>en</w:t>
      </w:r>
      <w:r w:rsidR="00957370">
        <w:t xml:space="preserve">vironmental or funding issues. </w:t>
      </w:r>
      <w:r w:rsidR="00184EBD" w:rsidRPr="0053080F">
        <w:t xml:space="preserve">Funding may come from this program year, reallocated or recaptured funds, or be contingent on future years’ funding.  </w:t>
      </w:r>
    </w:p>
    <w:bookmarkStart w:id="27" w:name="_Toc153828346"/>
    <w:p w14:paraId="54C6F607" w14:textId="2AA07969" w:rsidR="0053080F" w:rsidRDefault="00117155" w:rsidP="002248A9">
      <w:pPr>
        <w:pStyle w:val="Heading2"/>
        <w:pageBreakBefore/>
      </w:pPr>
      <w:r>
        <w:rPr>
          <w:noProof/>
        </w:rPr>
        <w:lastRenderedPageBreak/>
        <mc:AlternateContent>
          <mc:Choice Requires="wps">
            <w:drawing>
              <wp:anchor distT="0" distB="0" distL="114300" distR="114300" simplePos="0" relativeHeight="251658255" behindDoc="1" locked="0" layoutInCell="1" allowOverlap="1" wp14:anchorId="7DF812D8" wp14:editId="550B3942">
                <wp:simplePos x="0" y="0"/>
                <wp:positionH relativeFrom="column">
                  <wp:posOffset>0</wp:posOffset>
                </wp:positionH>
                <wp:positionV relativeFrom="paragraph">
                  <wp:posOffset>59055</wp:posOffset>
                </wp:positionV>
                <wp:extent cx="6126480" cy="365760"/>
                <wp:effectExtent l="0" t="1905"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07BB5" id="Rectangle 3" o:spid="_x0000_s1026" style="position:absolute;margin-left:0;margin-top:4.65pt;width:482.4pt;height:28.8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53080F">
        <w:t>Business Development Program</w:t>
      </w:r>
      <w:bookmarkEnd w:id="27"/>
    </w:p>
    <w:p w14:paraId="6FD94E7F" w14:textId="56B264A7" w:rsidR="0053080F" w:rsidRPr="00845165" w:rsidRDefault="0053080F" w:rsidP="00845165">
      <w:pPr>
        <w:pStyle w:val="StyleHeading3ProgramSection"/>
      </w:pPr>
      <w:r>
        <w:t>Total Funds</w:t>
      </w:r>
      <w:r>
        <w:rPr>
          <w:u w:val="none"/>
        </w:rPr>
        <w:t>:</w:t>
      </w:r>
      <w:r w:rsidRPr="00EA213E">
        <w:rPr>
          <w:u w:val="none"/>
        </w:rPr>
        <w:tab/>
        <w:t xml:space="preserve"> </w:t>
      </w:r>
      <w:r>
        <w:rPr>
          <w:u w:val="none"/>
        </w:rPr>
        <w:t>$</w:t>
      </w:r>
      <w:r w:rsidR="56E98DA4">
        <w:rPr>
          <w:u w:val="none"/>
        </w:rPr>
        <w:t>1</w:t>
      </w:r>
      <w:r w:rsidR="004A5DEE">
        <w:rPr>
          <w:u w:val="none"/>
        </w:rPr>
        <w:t>,000,000</w:t>
      </w:r>
    </w:p>
    <w:p w14:paraId="7EA543D0" w14:textId="77777777" w:rsidR="003C0DDC" w:rsidRDefault="003C0DDC" w:rsidP="00040F2E">
      <w:pPr>
        <w:pStyle w:val="Heading3ProgramSection"/>
      </w:pPr>
    </w:p>
    <w:p w14:paraId="25276F23" w14:textId="77777777" w:rsidR="0053080F" w:rsidRPr="00040F2E" w:rsidRDefault="0053080F" w:rsidP="00040F2E">
      <w:pPr>
        <w:pStyle w:val="Heading3ProgramSection"/>
      </w:pPr>
      <w:r w:rsidRPr="00040F2E">
        <w:t>Outcome</w:t>
      </w:r>
    </w:p>
    <w:p w14:paraId="74DF4CD5" w14:textId="77777777" w:rsidR="00D10E59" w:rsidRDefault="00D10E59" w:rsidP="00D10E59">
      <w:pPr>
        <w:pStyle w:val="BodyText"/>
      </w:pPr>
      <w:r>
        <w:t>This program provides financial resources for local governments to pursue opportunities that create new jobs, retain existing employment, stimulate private investment, and revitalize or facilitate the competitiveness of the local economy.</w:t>
      </w:r>
      <w:r w:rsidR="00947EBB">
        <w:t xml:space="preserve"> Funding will be prioritized based on the following order:</w:t>
      </w:r>
    </w:p>
    <w:p w14:paraId="35936D48" w14:textId="77777777" w:rsidR="003C0DDC" w:rsidRPr="004C6A83" w:rsidRDefault="003C0DDC" w:rsidP="00BE52E9">
      <w:pPr>
        <w:pStyle w:val="BulletParagraph"/>
        <w:numPr>
          <w:ilvl w:val="0"/>
          <w:numId w:val="24"/>
        </w:numPr>
        <w:spacing w:before="120" w:after="0"/>
      </w:pPr>
      <w:r w:rsidRPr="004C6A83">
        <w:t>New or expanding businesses tied to job creation</w:t>
      </w:r>
    </w:p>
    <w:p w14:paraId="73D43E31" w14:textId="77777777" w:rsidR="00E960E9" w:rsidRDefault="00E960E9" w:rsidP="00BE52E9">
      <w:pPr>
        <w:pStyle w:val="BulletParagraph"/>
        <w:numPr>
          <w:ilvl w:val="0"/>
          <w:numId w:val="24"/>
        </w:numPr>
        <w:spacing w:before="120" w:after="0"/>
      </w:pPr>
      <w:r>
        <w:t>Are</w:t>
      </w:r>
      <w:r w:rsidR="00941A85">
        <w:t>a</w:t>
      </w:r>
      <w:r>
        <w:t xml:space="preserve"> economic development activities not associated with job creation</w:t>
      </w:r>
    </w:p>
    <w:p w14:paraId="3062D23E" w14:textId="77777777" w:rsidR="003C0DDC" w:rsidRPr="004E2E3E" w:rsidRDefault="00D57464" w:rsidP="00BE52E9">
      <w:pPr>
        <w:pStyle w:val="BulletParagraph"/>
        <w:numPr>
          <w:ilvl w:val="0"/>
          <w:numId w:val="24"/>
        </w:numPr>
        <w:spacing w:before="120" w:after="0"/>
      </w:pPr>
      <w:r>
        <w:t xml:space="preserve">New or expanding local </w:t>
      </w:r>
      <w:r w:rsidR="003C0DDC" w:rsidRPr="004E2E3E">
        <w:t>businesses that provide essential goods and services in predominately LMI communities</w:t>
      </w:r>
    </w:p>
    <w:p w14:paraId="5A28527D" w14:textId="77777777" w:rsidR="00D57464" w:rsidRDefault="00D57464" w:rsidP="003E128A"/>
    <w:p w14:paraId="57F16791" w14:textId="77777777" w:rsidR="0053080F" w:rsidRDefault="0053080F" w:rsidP="00040F2E">
      <w:pPr>
        <w:pStyle w:val="Heading3ProgramSection"/>
      </w:pPr>
      <w:r>
        <w:t>Grant Amount</w:t>
      </w:r>
    </w:p>
    <w:p w14:paraId="631EFD91" w14:textId="77777777" w:rsidR="0053080F" w:rsidRDefault="004E2E3E" w:rsidP="00760425">
      <w:pPr>
        <w:pStyle w:val="BodyText"/>
      </w:pPr>
      <w:r>
        <w:t xml:space="preserve">Grants and/or loans with performance requirements may be provided to assist new or expanding businesses that propose to create or retain jobs. </w:t>
      </w:r>
      <w:r w:rsidR="0053080F">
        <w:t xml:space="preserve">The level of assistance will be based on an analysis of the needs of the business and the local government, the CDBG cost per job, and the amount of investment by the business.  Projects must first qualify based on the actual need for assistance and do not automatically qualify for the maximum grant amount.  </w:t>
      </w:r>
    </w:p>
    <w:p w14:paraId="36F27FFD" w14:textId="77777777" w:rsidR="0053080F" w:rsidRDefault="0053080F" w:rsidP="00760425">
      <w:pPr>
        <w:pStyle w:val="BodyText"/>
      </w:pPr>
    </w:p>
    <w:p w14:paraId="1024DE5C" w14:textId="77777777" w:rsidR="004C0D13" w:rsidRDefault="0053080F" w:rsidP="004C0D13">
      <w:pPr>
        <w:pStyle w:val="BulletHeader"/>
        <w:tabs>
          <w:tab w:val="left" w:pos="720"/>
          <w:tab w:val="decimal" w:pos="7920"/>
        </w:tabs>
        <w:spacing w:after="0"/>
        <w:rPr>
          <w:b w:val="0"/>
        </w:rPr>
      </w:pPr>
      <w:r w:rsidRPr="00040F2E">
        <w:rPr>
          <w:b w:val="0"/>
        </w:rPr>
        <w:t>Maximum</w:t>
      </w:r>
      <w:r w:rsidR="00ED7544">
        <w:rPr>
          <w:b w:val="0"/>
        </w:rPr>
        <w:t xml:space="preserve"> </w:t>
      </w:r>
      <w:r w:rsidR="00E53E13">
        <w:rPr>
          <w:b w:val="0"/>
        </w:rPr>
        <w:t>for</w:t>
      </w:r>
      <w:r w:rsidR="00ED7544" w:rsidRPr="00D57464">
        <w:rPr>
          <w:b w:val="0"/>
        </w:rPr>
        <w:t xml:space="preserve"> job creation/retention</w:t>
      </w:r>
      <w:r w:rsidRPr="00D57464">
        <w:rPr>
          <w:b w:val="0"/>
        </w:rPr>
        <w:t>:</w:t>
      </w:r>
      <w:r w:rsidR="008A78D3">
        <w:rPr>
          <w:b w:val="0"/>
        </w:rPr>
        <w:t xml:space="preserve"> </w:t>
      </w:r>
      <w:r w:rsidR="00957370">
        <w:rPr>
          <w:b w:val="0"/>
        </w:rPr>
        <w:tab/>
      </w:r>
      <w:r w:rsidR="00040F2E" w:rsidRPr="00D57464">
        <w:rPr>
          <w:b w:val="0"/>
        </w:rPr>
        <w:t>$</w:t>
      </w:r>
      <w:r w:rsidRPr="00D57464">
        <w:rPr>
          <w:b w:val="0"/>
        </w:rPr>
        <w:t>10,000 per job</w:t>
      </w:r>
    </w:p>
    <w:p w14:paraId="717333E7" w14:textId="77777777" w:rsidR="00B93E78" w:rsidRPr="004C0D13" w:rsidRDefault="00B93E78" w:rsidP="004C0D13">
      <w:pPr>
        <w:pStyle w:val="BulletHeader"/>
        <w:tabs>
          <w:tab w:val="left" w:pos="720"/>
          <w:tab w:val="decimal" w:pos="7920"/>
        </w:tabs>
        <w:spacing w:after="0"/>
        <w:rPr>
          <w:rFonts w:eastAsia="Arial Unicode MS"/>
          <w:b w:val="0"/>
        </w:rPr>
      </w:pPr>
      <w:r w:rsidRPr="004C0D13">
        <w:rPr>
          <w:b w:val="0"/>
        </w:rPr>
        <w:t>Minimum:</w:t>
      </w:r>
      <w:r w:rsidRPr="004C0D13">
        <w:rPr>
          <w:b w:val="0"/>
        </w:rPr>
        <w:tab/>
        <w:t>$50,000</w:t>
      </w:r>
    </w:p>
    <w:p w14:paraId="6B9B25DE" w14:textId="77777777" w:rsidR="00941BD6" w:rsidRDefault="00941BD6" w:rsidP="007C38F2">
      <w:pPr>
        <w:pStyle w:val="BulletHeader"/>
        <w:tabs>
          <w:tab w:val="left" w:pos="720"/>
          <w:tab w:val="decimal" w:pos="7920"/>
        </w:tabs>
        <w:spacing w:before="40" w:after="0"/>
        <w:rPr>
          <w:b w:val="0"/>
        </w:rPr>
      </w:pPr>
    </w:p>
    <w:p w14:paraId="3A08A6B7" w14:textId="77777777" w:rsidR="00941A85" w:rsidRDefault="00941A85" w:rsidP="007C38F2">
      <w:pPr>
        <w:pStyle w:val="BulletHeader"/>
        <w:tabs>
          <w:tab w:val="left" w:pos="720"/>
          <w:tab w:val="decimal" w:pos="7920"/>
        </w:tabs>
        <w:spacing w:before="40" w:after="0"/>
        <w:rPr>
          <w:b w:val="0"/>
        </w:rPr>
      </w:pPr>
      <w:r>
        <w:rPr>
          <w:b w:val="0"/>
        </w:rPr>
        <w:t>Maximum for area economic development:</w:t>
      </w:r>
      <w:r>
        <w:rPr>
          <w:b w:val="0"/>
        </w:rPr>
        <w:tab/>
        <w:t xml:space="preserve"> </w:t>
      </w:r>
      <w:r w:rsidR="007C38F2">
        <w:rPr>
          <w:b w:val="0"/>
        </w:rPr>
        <w:t xml:space="preserve">  </w:t>
      </w:r>
      <w:r>
        <w:rPr>
          <w:b w:val="0"/>
        </w:rPr>
        <w:t>$500,000</w:t>
      </w:r>
    </w:p>
    <w:p w14:paraId="78F09810" w14:textId="77777777" w:rsidR="00941A85" w:rsidRDefault="00941A85" w:rsidP="006D445C">
      <w:pPr>
        <w:pStyle w:val="BulletHeader"/>
        <w:tabs>
          <w:tab w:val="left" w:pos="720"/>
          <w:tab w:val="decimal" w:pos="7920"/>
        </w:tabs>
        <w:spacing w:before="40" w:after="0"/>
        <w:rPr>
          <w:b w:val="0"/>
        </w:rPr>
      </w:pPr>
      <w:r>
        <w:rPr>
          <w:b w:val="0"/>
        </w:rPr>
        <w:t>Minimum:</w:t>
      </w:r>
      <w:r>
        <w:rPr>
          <w:b w:val="0"/>
        </w:rPr>
        <w:tab/>
        <w:t>$50,000</w:t>
      </w:r>
    </w:p>
    <w:p w14:paraId="410698FF" w14:textId="77777777" w:rsidR="00941A85" w:rsidRPr="00941A85" w:rsidRDefault="00941A85" w:rsidP="00941A85">
      <w:pPr>
        <w:pStyle w:val="BulletHeader"/>
        <w:tabs>
          <w:tab w:val="clear" w:pos="1080"/>
          <w:tab w:val="left" w:pos="720"/>
          <w:tab w:val="decimal" w:pos="7200"/>
        </w:tabs>
        <w:spacing w:before="40" w:after="0"/>
        <w:rPr>
          <w:b w:val="0"/>
        </w:rPr>
      </w:pPr>
    </w:p>
    <w:p w14:paraId="352839CA" w14:textId="77777777" w:rsidR="0053080F" w:rsidRDefault="0053080F" w:rsidP="00941A85">
      <w:pPr>
        <w:pStyle w:val="BulletHeader"/>
        <w:tabs>
          <w:tab w:val="left" w:pos="720"/>
          <w:tab w:val="decimal" w:pos="7200"/>
        </w:tabs>
        <w:spacing w:before="40" w:after="0"/>
        <w:rPr>
          <w:b w:val="0"/>
        </w:rPr>
      </w:pPr>
      <w:r w:rsidRPr="00040F2E">
        <w:rPr>
          <w:b w:val="0"/>
        </w:rPr>
        <w:t xml:space="preserve">Maximum for </w:t>
      </w:r>
      <w:r w:rsidR="004E2E3E">
        <w:rPr>
          <w:b w:val="0"/>
        </w:rPr>
        <w:t>local goods and services</w:t>
      </w:r>
      <w:r w:rsidRPr="00040F2E">
        <w:rPr>
          <w:b w:val="0"/>
        </w:rPr>
        <w:t xml:space="preserve">: </w:t>
      </w:r>
      <w:r w:rsidRPr="00040F2E">
        <w:rPr>
          <w:b w:val="0"/>
        </w:rPr>
        <w:tab/>
      </w:r>
    </w:p>
    <w:p w14:paraId="633DDB57" w14:textId="77777777" w:rsidR="00D400DC" w:rsidRDefault="00D400DC" w:rsidP="006D445C">
      <w:pPr>
        <w:pStyle w:val="BulletHeader"/>
        <w:numPr>
          <w:ilvl w:val="1"/>
          <w:numId w:val="8"/>
        </w:numPr>
        <w:tabs>
          <w:tab w:val="left" w:pos="720"/>
          <w:tab w:val="decimal" w:pos="7920"/>
        </w:tabs>
        <w:spacing w:after="0"/>
        <w:rPr>
          <w:b w:val="0"/>
        </w:rPr>
      </w:pPr>
      <w:r>
        <w:rPr>
          <w:b w:val="0"/>
        </w:rPr>
        <w:t>Service area less than 20% poverty or 70% LMI</w:t>
      </w:r>
      <w:r w:rsidR="007C6131">
        <w:rPr>
          <w:b w:val="0"/>
        </w:rPr>
        <w:t xml:space="preserve">  </w:t>
      </w:r>
      <w:r w:rsidR="007C6131">
        <w:rPr>
          <w:b w:val="0"/>
        </w:rPr>
        <w:tab/>
      </w:r>
      <w:r w:rsidR="00B93E78">
        <w:rPr>
          <w:b w:val="0"/>
        </w:rPr>
        <w:t xml:space="preserve">$350 per </w:t>
      </w:r>
      <w:r w:rsidR="00D67368">
        <w:rPr>
          <w:b w:val="0"/>
        </w:rPr>
        <w:t>LMI</w:t>
      </w:r>
      <w:r w:rsidR="00A86C87">
        <w:rPr>
          <w:b w:val="0"/>
        </w:rPr>
        <w:t xml:space="preserve"> person</w:t>
      </w:r>
    </w:p>
    <w:p w14:paraId="57147418" w14:textId="77777777" w:rsidR="00B93E78" w:rsidRPr="00040F2E" w:rsidRDefault="00B93E78" w:rsidP="006D445C">
      <w:pPr>
        <w:pStyle w:val="BulletedMultilinespbeforeafter"/>
        <w:numPr>
          <w:ilvl w:val="1"/>
          <w:numId w:val="8"/>
        </w:numPr>
        <w:tabs>
          <w:tab w:val="decimal" w:pos="7920"/>
        </w:tabs>
        <w:spacing w:before="0"/>
      </w:pPr>
      <w:r>
        <w:t xml:space="preserve">Service area equal/more than 20% poverty or 70% LMI </w:t>
      </w:r>
      <w:r>
        <w:tab/>
        <w:t xml:space="preserve">$1,000 per </w:t>
      </w:r>
      <w:r w:rsidR="00D67368">
        <w:t>LMI</w:t>
      </w:r>
      <w:r w:rsidR="00A86C87">
        <w:t xml:space="preserve"> person</w:t>
      </w:r>
    </w:p>
    <w:p w14:paraId="46B68E3E" w14:textId="77777777" w:rsidR="0053080F" w:rsidRDefault="0053080F" w:rsidP="00040F2E">
      <w:pPr>
        <w:pStyle w:val="BodyText"/>
      </w:pPr>
      <w:r w:rsidRPr="0054368D">
        <w:t xml:space="preserve">The </w:t>
      </w:r>
      <w:r w:rsidR="00941A85">
        <w:t>maximum grant</w:t>
      </w:r>
      <w:r w:rsidRPr="0054368D">
        <w:t xml:space="preserve"> limit may be waived, by the Secretary of Commerce, where it is determined that the increased cost is appropriate and necessary to address state and loc</w:t>
      </w:r>
      <w:r w:rsidR="00957370">
        <w:t>al economic development needs</w:t>
      </w:r>
      <w:r w:rsidR="00941A85">
        <w:t xml:space="preserve"> as long as CDBG requirements will still be met</w:t>
      </w:r>
      <w:r w:rsidR="00957370">
        <w:t xml:space="preserve">. </w:t>
      </w:r>
      <w:r w:rsidRPr="0054368D">
        <w:t>A waiver may be further considered in unique circumstances where the level of assistance is determined justified by the Secretary of Commerce based upon the overall impact of the project and where the necessary level of assistance cannot be met by other available resources in a timely manner</w:t>
      </w:r>
      <w:r>
        <w:t xml:space="preserve">.  </w:t>
      </w:r>
    </w:p>
    <w:p w14:paraId="647BABF9" w14:textId="77777777" w:rsidR="0053080F" w:rsidRDefault="0053080F" w:rsidP="00040F2E">
      <w:pPr>
        <w:pStyle w:val="BodyText"/>
      </w:pPr>
    </w:p>
    <w:p w14:paraId="77816C49" w14:textId="77777777" w:rsidR="0053080F" w:rsidRDefault="0053080F" w:rsidP="0084218B">
      <w:pPr>
        <w:pStyle w:val="Heading2B"/>
      </w:pPr>
      <w:bookmarkStart w:id="28" w:name="_Toc219526463"/>
      <w:bookmarkStart w:id="29" w:name="_Toc282612170"/>
      <w:bookmarkStart w:id="30" w:name="_Toc346003848"/>
      <w:bookmarkStart w:id="31" w:name="_Toc376524651"/>
      <w:bookmarkStart w:id="32" w:name="_Toc153828347"/>
      <w:r>
        <w:t>Business Development Program Requirements</w:t>
      </w:r>
      <w:bookmarkEnd w:id="28"/>
      <w:bookmarkEnd w:id="29"/>
      <w:bookmarkEnd w:id="30"/>
      <w:bookmarkEnd w:id="31"/>
      <w:bookmarkEnd w:id="32"/>
    </w:p>
    <w:p w14:paraId="3B241DE3" w14:textId="77777777" w:rsidR="0053080F" w:rsidRDefault="0053080F" w:rsidP="00760425">
      <w:pPr>
        <w:pStyle w:val="BodyText"/>
      </w:pPr>
      <w:r>
        <w:t>Applications for the Business Development Program must meet one of the three national o</w:t>
      </w:r>
      <w:r w:rsidR="00957370">
        <w:t xml:space="preserve">bjectives of the CDBG program. </w:t>
      </w:r>
      <w:r>
        <w:t xml:space="preserve">There is an emphasis on expanding employment opportunities </w:t>
      </w:r>
      <w:r w:rsidR="00957370">
        <w:t xml:space="preserve">for persons from LMI families. </w:t>
      </w:r>
      <w:r>
        <w:t>A unit of local government may apply at any time for a Business Development Grant and grants will be awarded throughout t</w:t>
      </w:r>
      <w:r w:rsidR="00717DCE">
        <w:t>he year, as funds are available based on the funding priorities.</w:t>
      </w:r>
    </w:p>
    <w:p w14:paraId="739B608F" w14:textId="36DF7CBD" w:rsidR="0053080F" w:rsidRDefault="0053080F" w:rsidP="00760425">
      <w:pPr>
        <w:pStyle w:val="BodyText"/>
      </w:pPr>
      <w:r>
        <w:lastRenderedPageBreak/>
        <w:t xml:space="preserve">HUD regulations require that at least 51 percent of any jobs to be created and/or retained as a direct result of CDBG assistance be for persons whose total family income </w:t>
      </w:r>
      <w:r w:rsidR="00957370">
        <w:t xml:space="preserve">is low to moderate (LMI Jobs). </w:t>
      </w:r>
      <w:r>
        <w:t>Any business that will create or retain jobs directly as a result of any project undertaken with a Business Development Grant must provide a written commitment of the total number of jobs to be created or retained as a result o</w:t>
      </w:r>
      <w:r w:rsidR="00957370">
        <w:t xml:space="preserve">f the grant funded activities. </w:t>
      </w:r>
      <w:r>
        <w:t>For new jobs, the employer must commit to hiring at least 51 percent of the employees from low</w:t>
      </w:r>
      <w:r w:rsidR="00957370">
        <w:t xml:space="preserve"> and moderate income families. </w:t>
      </w:r>
      <w:r>
        <w:t>For jobs to be retained, the employer must establish that 51 percent of the jobs to be retained are, or within a reasonable time period will be, held</w:t>
      </w:r>
      <w:r w:rsidR="00957370">
        <w:t xml:space="preserve"> by persons from LMI families. </w:t>
      </w:r>
      <w:r>
        <w:t xml:space="preserve">Where appropriate, </w:t>
      </w:r>
      <w:r w:rsidR="00EA213E">
        <w:t xml:space="preserve">the State CDBG Program </w:t>
      </w:r>
      <w:r>
        <w:t>will make a preliminary determination of the potential for LMI jobs to be created by reviewing the entry-level job skills, educational requirements, and job training opportunities to be provided</w:t>
      </w:r>
      <w:r w:rsidR="00E14DBE">
        <w:t xml:space="preserve"> and average wage</w:t>
      </w:r>
      <w:r w:rsidR="00957370">
        <w:t xml:space="preserve">. </w:t>
      </w:r>
      <w:r>
        <w:t>For retained jobs, there must also be clear and objective evidence that permanent jobs would be los</w:t>
      </w:r>
      <w:r w:rsidR="00957370">
        <w:t xml:space="preserve">t without the CDBG assistance. </w:t>
      </w:r>
      <w:r>
        <w:t>Jobs must be created within a reasonable time frame of the assistance, when th</w:t>
      </w:r>
      <w:r w:rsidR="009612BF">
        <w:t xml:space="preserve">e business becomes operational </w:t>
      </w:r>
      <w:r>
        <w:t>(generally 24 months</w:t>
      </w:r>
      <w:r w:rsidR="00957370">
        <w:t xml:space="preserve"> from time of the assistance). </w:t>
      </w:r>
      <w:r w:rsidR="00EA213E">
        <w:t xml:space="preserve">The State CDBG Program </w:t>
      </w:r>
      <w:r>
        <w:t>may require a legally binding performance agreement which outlines repayment of a portion or all of the CDBG funds awarded for a project if the jobs creation/retention commitment and LMI hiring requirement is not met.</w:t>
      </w:r>
    </w:p>
    <w:p w14:paraId="2AD438A6" w14:textId="77777777" w:rsidR="0053080F" w:rsidRDefault="0053080F" w:rsidP="00760425">
      <w:pPr>
        <w:pStyle w:val="BodyText"/>
      </w:pPr>
    </w:p>
    <w:p w14:paraId="2A8E04F5" w14:textId="77777777" w:rsidR="00E14DBE" w:rsidRDefault="00E14DBE" w:rsidP="00E14DBE">
      <w:pPr>
        <w:pStyle w:val="BodyText"/>
      </w:pPr>
      <w:r>
        <w:t>Generally, projects to support job creation through the location or expansion of retail and/or services type projects (shopping centers, truck stops, etc.) may only be considered in areas which qualify under HUD’s presumption criteria for low and moderate income benefit or in predominately low and moderate income communities.</w:t>
      </w:r>
    </w:p>
    <w:p w14:paraId="0F792A45" w14:textId="77777777" w:rsidR="00483A1D" w:rsidRDefault="00483A1D" w:rsidP="00E14DBE">
      <w:pPr>
        <w:pStyle w:val="BodyText"/>
      </w:pPr>
    </w:p>
    <w:p w14:paraId="14F8502C" w14:textId="45E784CF" w:rsidR="0053080F" w:rsidRDefault="64E78A01" w:rsidP="00760425">
      <w:pPr>
        <w:pStyle w:val="BodyText"/>
      </w:pPr>
      <w:r>
        <w:t xml:space="preserve">The State CDBG Program </w:t>
      </w:r>
      <w:r w:rsidR="0053080F">
        <w:t>will not fund any project which involves the relocation of a business from another state, in accordance with HUD requirements, where there would be a significant job loss in the labor market area.</w:t>
      </w:r>
      <w:r w:rsidR="6297F1C3">
        <w:t xml:space="preserve"> The State CDBG Program </w:t>
      </w:r>
      <w:r w:rsidR="0053080F">
        <w:t xml:space="preserve"> also will not </w:t>
      </w:r>
      <w:r w:rsidR="004F55E3">
        <w:t xml:space="preserve">generally </w:t>
      </w:r>
      <w:r w:rsidR="0053080F">
        <w:t xml:space="preserve">recommend relocation of a business from one jurisdiction to another within the State. The Secretary, in an exceptional circumstance, may waive this restriction where it is in the best interest of the State as a whole; e.g., where relocation is necessary to retain an existing business or to permit significant expansion of employment and such relocation will not have substantial negative impact on the local economy and employment. </w:t>
      </w:r>
    </w:p>
    <w:p w14:paraId="15285AA4" w14:textId="77777777" w:rsidR="0053080F" w:rsidRDefault="0053080F" w:rsidP="00760425">
      <w:pPr>
        <w:pStyle w:val="BodyText"/>
      </w:pPr>
    </w:p>
    <w:p w14:paraId="4829F0F6" w14:textId="77777777" w:rsidR="0053080F" w:rsidRDefault="0053080F" w:rsidP="00760425">
      <w:pPr>
        <w:pStyle w:val="Heading3ProgramSection"/>
      </w:pPr>
      <w:r>
        <w:t>Performance Thresholds</w:t>
      </w:r>
    </w:p>
    <w:p w14:paraId="0C0DEDBA" w14:textId="76AB1EDF" w:rsidR="0053080F" w:rsidRDefault="0053080F" w:rsidP="00760425">
      <w:pPr>
        <w:pStyle w:val="BodyText"/>
      </w:pPr>
      <w:r>
        <w:t xml:space="preserve">At the discretion of </w:t>
      </w:r>
      <w:r w:rsidR="05951769">
        <w:t xml:space="preserve"> the State CDBG Program</w:t>
      </w:r>
      <w:r w:rsidR="00483A1D">
        <w:t>,</w:t>
      </w:r>
      <w:r>
        <w:t xml:space="preserve"> a grant may not be awarded to local governments which have a serious, outstanding audit or monitoring finding related to any previously funded CDBG grant where the grantee has not been responsive and/or there is the potential for significant monetary restitution.</w:t>
      </w:r>
    </w:p>
    <w:p w14:paraId="0D65C2AE" w14:textId="77777777" w:rsidR="002046BF" w:rsidRDefault="002046BF" w:rsidP="00760425">
      <w:pPr>
        <w:pStyle w:val="BodyText"/>
      </w:pPr>
    </w:p>
    <w:p w14:paraId="13EA32FA" w14:textId="77777777" w:rsidR="0053080F" w:rsidRDefault="0053080F" w:rsidP="00760425">
      <w:pPr>
        <w:pStyle w:val="Heading3ProgramSection"/>
      </w:pPr>
      <w:r>
        <w:t>Application Requests and Deadlines</w:t>
      </w:r>
    </w:p>
    <w:p w14:paraId="1AB26947" w14:textId="3595DACC" w:rsidR="0053080F" w:rsidRDefault="0053080F" w:rsidP="00760425">
      <w:pPr>
        <w:pStyle w:val="BodyText"/>
      </w:pPr>
      <w:r>
        <w:t>The chief elected or administrative official of the unit of local government must request applications for Business Development assistan</w:t>
      </w:r>
      <w:r w:rsidR="00957370">
        <w:t xml:space="preserve">ce from </w:t>
      </w:r>
      <w:r w:rsidR="599FC341">
        <w:t>the State CDBG Program</w:t>
      </w:r>
      <w:r w:rsidR="00957370">
        <w:t xml:space="preserve">. </w:t>
      </w:r>
      <w:r>
        <w:t>Such requests should include as appropriate, the name of the business, its product or service, estimated initial capital investment, and the number of j</w:t>
      </w:r>
      <w:r w:rsidR="00957370">
        <w:t xml:space="preserve">obs to be created or retained. </w:t>
      </w:r>
      <w:r>
        <w:t>The request must also briefly describe the project for which CDBG funds are being requested, the estimated total cost of the project, the amount of CDBG funds being requested and the sources of all other funds necessary to complete the project.  (If a preliminary engineering cost report is avai</w:t>
      </w:r>
      <w:r w:rsidR="00957370">
        <w:t xml:space="preserve">lable, it should be included). </w:t>
      </w:r>
      <w:r w:rsidR="00EA213E">
        <w:t xml:space="preserve">The State CDBG Program </w:t>
      </w:r>
      <w:r>
        <w:t>may request a meeting with the potential applicant or may conduct a site visit to determine the eligibility and feasibility prior to mailing an application.</w:t>
      </w:r>
    </w:p>
    <w:p w14:paraId="671928BE" w14:textId="77777777" w:rsidR="00EA213E" w:rsidRDefault="00EA213E" w:rsidP="00760425">
      <w:pPr>
        <w:pStyle w:val="BodyText"/>
      </w:pPr>
    </w:p>
    <w:p w14:paraId="497D9512" w14:textId="06AA3090" w:rsidR="0053080F" w:rsidRDefault="0053080F" w:rsidP="00760425">
      <w:pPr>
        <w:pStyle w:val="BodyText"/>
      </w:pPr>
      <w:r>
        <w:t xml:space="preserve">Applications may be submitted at any time. </w:t>
      </w:r>
      <w:r w:rsidR="00EA213E">
        <w:t xml:space="preserve">The State CDBG Program </w:t>
      </w:r>
      <w:r>
        <w:t xml:space="preserve">may issue commitments at any time for project funding contingent upon receipt of an acceptable written commitment from the business (if job creation or retention is involved), acceptable application information, compliance with CDBG program guidelines and HUD regulations, and continued program funding.  </w:t>
      </w:r>
    </w:p>
    <w:p w14:paraId="71CCA9EE" w14:textId="77777777" w:rsidR="0053080F" w:rsidRDefault="0053080F" w:rsidP="00760425">
      <w:pPr>
        <w:pStyle w:val="BodyText"/>
      </w:pPr>
    </w:p>
    <w:p w14:paraId="539FF9DC" w14:textId="77777777" w:rsidR="0053080F" w:rsidRDefault="0053080F" w:rsidP="00760425">
      <w:pPr>
        <w:pStyle w:val="Heading3ProgramSection"/>
      </w:pPr>
      <w:r>
        <w:t>Local Match</w:t>
      </w:r>
    </w:p>
    <w:p w14:paraId="3B414410" w14:textId="77777777" w:rsidR="00B34D4B" w:rsidRDefault="007A075C" w:rsidP="007A075C">
      <w:pPr>
        <w:pStyle w:val="BulletIndent-noBullet"/>
        <w:spacing w:after="200"/>
        <w:ind w:left="0"/>
      </w:pPr>
      <w:r>
        <w:t xml:space="preserve">CDBG projects are expected to leverage other public and private investments and serve as a catalyst for future development. Projects that traditionally have the greatest long term impact are those that have an investment by the community. </w:t>
      </w:r>
    </w:p>
    <w:p w14:paraId="51DCFD2B" w14:textId="77777777" w:rsidR="007A075C" w:rsidRDefault="007A075C" w:rsidP="007A075C">
      <w:pPr>
        <w:pStyle w:val="BulletIndent-noBullet"/>
        <w:spacing w:after="200"/>
        <w:ind w:left="0"/>
      </w:pPr>
      <w:r>
        <w:t>There must be a 10% match/leverage of the total CDBG request, unless otherwise approved, which can come from a variety of committed sources including other, non-Commerce grants, loans, waiver of fees, public or private investments, and documented volunteer or in-kind contributions.</w:t>
      </w:r>
    </w:p>
    <w:p w14:paraId="25E92EEB" w14:textId="2CCCE7FA" w:rsidR="00651051" w:rsidRDefault="00651051" w:rsidP="00651051">
      <w:pPr>
        <w:pStyle w:val="BodyText"/>
      </w:pPr>
      <w:r>
        <w:t xml:space="preserve">The required match must be for activity costs directly related to the CDBG project. The State </w:t>
      </w:r>
      <w:r w:rsidR="00EA213E">
        <w:t xml:space="preserve">CDBG Program </w:t>
      </w:r>
      <w:r>
        <w:t xml:space="preserve">must approve in advance any proposed match </w:t>
      </w:r>
      <w:r w:rsidRPr="00EB193F">
        <w:t>(except application preparation or environmental review costs) that has been spent prior to application submission. With prior written approval, the match may</w:t>
      </w:r>
      <w:r>
        <w:t xml:space="preserve"> be used for acquisition, engineering design or permitting prior to the submission of the application. This is encouraged so that projects are construction ready.  </w:t>
      </w:r>
    </w:p>
    <w:p w14:paraId="7DB9AE1B" w14:textId="77777777" w:rsidR="007A075C" w:rsidRDefault="007A075C" w:rsidP="007A075C">
      <w:pPr>
        <w:pStyle w:val="BodyText"/>
      </w:pPr>
    </w:p>
    <w:p w14:paraId="57593F9D" w14:textId="3CEE8E5C" w:rsidR="007A075C" w:rsidRDefault="007A075C" w:rsidP="007A075C">
      <w:pPr>
        <w:pStyle w:val="BodyText"/>
      </w:pPr>
      <w:r>
        <w:t xml:space="preserve">The match/leveraging requirement may be modified or waived by </w:t>
      </w:r>
      <w:r w:rsidR="46F03237">
        <w:t xml:space="preserve"> the State CDBG Program</w:t>
      </w:r>
      <w:r>
        <w:t xml:space="preserve"> upon written request and after consideration of the following minimum factors: the nature of the project, the need being addressed, local financial capacity and the availability of other resources.</w:t>
      </w:r>
      <w:r w:rsidR="00EA213E">
        <w:t xml:space="preserve"> </w:t>
      </w:r>
      <w:r w:rsidR="761FEE1D">
        <w:t>The State CDBG Program</w:t>
      </w:r>
      <w:r>
        <w:t xml:space="preserve"> may request financial and other information as may be needed to make a determination. It is unlikely that a 100% waiver will be approved since every community is expected to make a contribution to the project.</w:t>
      </w:r>
    </w:p>
    <w:p w14:paraId="15EA42FA" w14:textId="77777777" w:rsidR="00DF52DE" w:rsidRDefault="00DF52DE" w:rsidP="007A075C">
      <w:pPr>
        <w:pStyle w:val="BodyText"/>
      </w:pPr>
    </w:p>
    <w:p w14:paraId="57183B99" w14:textId="77777777" w:rsidR="0053080F" w:rsidRDefault="0053080F" w:rsidP="00760425">
      <w:pPr>
        <w:pStyle w:val="Heading3ProgramSection"/>
      </w:pPr>
      <w:r>
        <w:t>Selection Criteria</w:t>
      </w:r>
    </w:p>
    <w:p w14:paraId="57B3410F" w14:textId="4A5A5BD2" w:rsidR="0053080F" w:rsidRDefault="0053080F" w:rsidP="00760425">
      <w:pPr>
        <w:pStyle w:val="BodyText"/>
      </w:pPr>
      <w:r>
        <w:t>Applications will be con</w:t>
      </w:r>
      <w:r w:rsidR="00957370">
        <w:t xml:space="preserve">sidered in the order received. </w:t>
      </w:r>
      <w:r>
        <w:t>Funding may be</w:t>
      </w:r>
      <w:r w:rsidR="007A075C">
        <w:t xml:space="preserve"> limited or delayed if necessary </w:t>
      </w:r>
      <w:r>
        <w:t>to ensure funding availability for prior commitments for ec</w:t>
      </w:r>
      <w:r w:rsidR="00957370">
        <w:t xml:space="preserve">onomic development assistance. </w:t>
      </w:r>
      <w:r w:rsidR="00EA213E">
        <w:t xml:space="preserve">The State CDBG Program </w:t>
      </w:r>
      <w:r>
        <w:t>will review the applications for completeness and for compliance with the above criteria, a</w:t>
      </w:r>
      <w:r w:rsidR="00957370">
        <w:t xml:space="preserve">nd applicable HUD regulations. </w:t>
      </w:r>
      <w:r>
        <w:t xml:space="preserve">Applications not meeting these requirements will not be recommended for funding. </w:t>
      </w:r>
    </w:p>
    <w:p w14:paraId="12D3CC8C" w14:textId="77777777" w:rsidR="0053080F" w:rsidRDefault="0053080F" w:rsidP="00760425">
      <w:pPr>
        <w:pStyle w:val="BodyText"/>
      </w:pPr>
    </w:p>
    <w:p w14:paraId="625AC025" w14:textId="66C71059" w:rsidR="0053080F" w:rsidRDefault="00EA213E" w:rsidP="00760425">
      <w:pPr>
        <w:pStyle w:val="BodyText"/>
      </w:pPr>
      <w:r>
        <w:t xml:space="preserve">The State CDBG Program </w:t>
      </w:r>
      <w:r w:rsidR="0053080F">
        <w:t>may request other state agencies to assist in evalu</w:t>
      </w:r>
      <w:r w:rsidR="00957370">
        <w:t xml:space="preserve">ating projects and activities. </w:t>
      </w:r>
      <w:r>
        <w:t xml:space="preserve">The State CDBG Program </w:t>
      </w:r>
      <w:r w:rsidR="0053080F">
        <w:t xml:space="preserve">may request additional information from the applicant or other sources as necessary to evaluate the application and the proposed project. </w:t>
      </w:r>
    </w:p>
    <w:p w14:paraId="4E8A2880" w14:textId="77777777" w:rsidR="0053080F" w:rsidRDefault="0053080F" w:rsidP="00760425">
      <w:pPr>
        <w:pStyle w:val="BodyText"/>
      </w:pPr>
    </w:p>
    <w:p w14:paraId="2540A745" w14:textId="484FEDE0" w:rsidR="0053080F" w:rsidRDefault="00EA213E" w:rsidP="00760425">
      <w:pPr>
        <w:pStyle w:val="BodyText"/>
      </w:pPr>
      <w:r>
        <w:t xml:space="preserve">The State CDBG Program </w:t>
      </w:r>
      <w:r w:rsidR="0053080F">
        <w:t>will utilize the HUD guidelines at 24 CFR 570.482(e) and Appendix A in evaluating and selecting projects to be recommended for assistance to businesses under the Busine</w:t>
      </w:r>
      <w:r w:rsidR="00957370">
        <w:t xml:space="preserve">ss Development Grant Program. </w:t>
      </w:r>
      <w:r w:rsidR="0053080F">
        <w:t>The objectives of these guidelines are to ensure: (1) That project costs are reasonable; (2) That all sources of project financing are committed; (3) That to the extent practicable, CDBG funds are not substituted for non-Federal financial support; (4)</w:t>
      </w:r>
      <w:r w:rsidR="00991CEC">
        <w:t> </w:t>
      </w:r>
      <w:r w:rsidR="0053080F">
        <w:t xml:space="preserve">That the project is financially feasible; (5) </w:t>
      </w:r>
      <w:r w:rsidR="00D67368">
        <w:t xml:space="preserve">That owner’s equity return is not unreasonably high; and (6) </w:t>
      </w:r>
      <w:r w:rsidR="0053080F">
        <w:t>That to the extent practicable, CDBG funds are disbursed on a pro-rata basis with other finances provided to the project. The following factors will also be considered, as appropriate, in making a funding determination on all projects recommended by the Secretary:</w:t>
      </w:r>
    </w:p>
    <w:p w14:paraId="3C5DC3B4" w14:textId="77777777" w:rsidR="0053080F" w:rsidRDefault="0053080F" w:rsidP="002046BF">
      <w:pPr>
        <w:pStyle w:val="ScoreHeader"/>
      </w:pPr>
      <w:r>
        <w:lastRenderedPageBreak/>
        <w:t>Market Conditions (Need)</w:t>
      </w:r>
    </w:p>
    <w:p w14:paraId="7429AEB9" w14:textId="77777777" w:rsidR="002D265E" w:rsidRDefault="0053080F" w:rsidP="002046BF">
      <w:pPr>
        <w:pStyle w:val="ScoreBulletMain"/>
      </w:pPr>
      <w:r w:rsidRPr="00BB08EE">
        <w:t>Availability and utilization of local government or other public resources to assist the project and the relative need for CDBG assistance.  Evidence of local economic distress such as recent plant closings and/or lay-offs and local unemployment rate.</w:t>
      </w:r>
      <w:r w:rsidR="00947EBB">
        <w:t xml:space="preserve"> Evidence of market need for local goods and services.</w:t>
      </w:r>
    </w:p>
    <w:p w14:paraId="7E20E358" w14:textId="77777777" w:rsidR="0053080F" w:rsidRDefault="0053080F" w:rsidP="002046BF">
      <w:pPr>
        <w:pStyle w:val="ScoreHeader"/>
      </w:pPr>
      <w:r>
        <w:t>Economic Impact</w:t>
      </w:r>
    </w:p>
    <w:p w14:paraId="4EBE95CA" w14:textId="77777777" w:rsidR="0053080F" w:rsidRPr="00BB08EE" w:rsidRDefault="0053080F" w:rsidP="002046BF">
      <w:pPr>
        <w:pStyle w:val="ScoreBulletMain"/>
      </w:pPr>
      <w:r w:rsidRPr="00BB08EE">
        <w:t>Number of permanent, full time jobs created or retained; CDBG cost per job (LMI and non-LMI); average wages, health benefits, capital investment; potential future growth; potential for catalyzing area economic development activity or cluster activity.</w:t>
      </w:r>
    </w:p>
    <w:p w14:paraId="008532BD" w14:textId="77777777" w:rsidR="0053080F" w:rsidRDefault="0053080F" w:rsidP="002046BF">
      <w:pPr>
        <w:pStyle w:val="ScoreHeader"/>
      </w:pPr>
      <w:r>
        <w:t>Leveraging</w:t>
      </w:r>
    </w:p>
    <w:p w14:paraId="10F833A9" w14:textId="77777777" w:rsidR="0053080F" w:rsidRPr="00BB08EE" w:rsidRDefault="0053080F" w:rsidP="002046BF">
      <w:pPr>
        <w:pStyle w:val="ScoreBulletMain"/>
      </w:pPr>
      <w:r w:rsidRPr="00BB08EE">
        <w:t>Ratio of private and/or public funds to CDBG funds. Generally private investment is expected to significantly exceed the amount of the CDBG and other public assistance.</w:t>
      </w:r>
    </w:p>
    <w:p w14:paraId="1CE29A50" w14:textId="77777777" w:rsidR="0053080F" w:rsidRDefault="0053080F" w:rsidP="002046BF">
      <w:pPr>
        <w:pStyle w:val="ScoreHeader"/>
      </w:pPr>
      <w:r>
        <w:t>Viability/Level of Public Risk</w:t>
      </w:r>
    </w:p>
    <w:p w14:paraId="3C46ABB8" w14:textId="77777777" w:rsidR="0053080F" w:rsidRPr="00BB08EE" w:rsidRDefault="0053080F" w:rsidP="002046BF">
      <w:pPr>
        <w:pStyle w:val="ScoreBulletMain"/>
      </w:pPr>
      <w:r w:rsidRPr="00BB08EE">
        <w:t>Public costs are reasonable, all funding sources are committed and available, private funding to be spent before public funding to the extent practical, security provided, as appropriate (assets, guarantees, etc.), and potential of the project to achieve the proposed public benefits within proposed timeframe.</w:t>
      </w:r>
    </w:p>
    <w:p w14:paraId="7E3679F5" w14:textId="77777777" w:rsidR="0053080F" w:rsidRDefault="0053080F" w:rsidP="00760425">
      <w:pPr>
        <w:pStyle w:val="BodyText"/>
      </w:pPr>
    </w:p>
    <w:p w14:paraId="0AF1B8DF" w14:textId="77777777" w:rsidR="0053080F" w:rsidRDefault="0053080F" w:rsidP="00760425">
      <w:pPr>
        <w:pStyle w:val="BodyText"/>
      </w:pPr>
      <w:r>
        <w:t>The Secretary will approve funding as recommended, unless the Secretary's consideration of the above factors results in a determination that such funding is not necessary or appropriate.</w:t>
      </w:r>
    </w:p>
    <w:p w14:paraId="764E0911" w14:textId="77777777" w:rsidR="0053080F" w:rsidRDefault="0053080F" w:rsidP="00760425">
      <w:pPr>
        <w:pStyle w:val="BodyText"/>
      </w:pPr>
    </w:p>
    <w:p w14:paraId="2ABECB03" w14:textId="77777777" w:rsidR="0053080F" w:rsidRDefault="0053080F" w:rsidP="00760425">
      <w:pPr>
        <w:pStyle w:val="BodyText"/>
      </w:pPr>
      <w:r>
        <w:t>In the event funds are not available to fully fund all Business Development applications under consideration at the same time, priority will be given to applications with prior commitments, and then preference will be given to projects based upon a consideration of the following factors: (1) level of job creation or retention</w:t>
      </w:r>
      <w:r w:rsidR="00957370">
        <w:t>,</w:t>
      </w:r>
      <w:r>
        <w:t xml:space="preserve"> (2) economic impact on the local economy</w:t>
      </w:r>
      <w:r w:rsidR="00957370">
        <w:t>,</w:t>
      </w:r>
      <w:r>
        <w:t xml:space="preserve"> (3) level of capital investment and (4) distress level of the county where the project is located.</w:t>
      </w:r>
    </w:p>
    <w:p w14:paraId="747EF30D" w14:textId="77777777" w:rsidR="0053080F" w:rsidRDefault="0053080F" w:rsidP="00760425">
      <w:pPr>
        <w:pStyle w:val="BodyText"/>
      </w:pPr>
    </w:p>
    <w:p w14:paraId="453F2612" w14:textId="7D7D8B75" w:rsidR="0053080F" w:rsidRDefault="0053080F" w:rsidP="00760425">
      <w:pPr>
        <w:pStyle w:val="BodyText"/>
      </w:pPr>
      <w:r>
        <w:t xml:space="preserve">Under unusual circumstances, </w:t>
      </w:r>
      <w:r w:rsidR="00EA213E">
        <w:t xml:space="preserve">the State CDBG Program </w:t>
      </w:r>
      <w:r>
        <w:t>may consider a waiver of any CDBG program requirements, set by the State, for projects that are determined to meet urgent or compelling needs or where the Secretary of the Department of Commerce determines it necessary to implement the objectives of the Department of Commerce.</w:t>
      </w:r>
    </w:p>
    <w:p w14:paraId="22A44D31" w14:textId="77777777" w:rsidR="00292684" w:rsidRDefault="00292684" w:rsidP="00760425">
      <w:pPr>
        <w:pStyle w:val="BodyText"/>
      </w:pPr>
    </w:p>
    <w:p w14:paraId="143223AD" w14:textId="77777777" w:rsidR="00292684" w:rsidRPr="002046BF" w:rsidRDefault="00292684" w:rsidP="00760425">
      <w:pPr>
        <w:pStyle w:val="BodyText"/>
      </w:pPr>
    </w:p>
    <w:bookmarkStart w:id="33" w:name="_Toc153828348"/>
    <w:p w14:paraId="628F5347" w14:textId="21F065D9" w:rsidR="00040F2E" w:rsidRDefault="00117155" w:rsidP="00941BD6">
      <w:pPr>
        <w:pStyle w:val="Heading2"/>
        <w:pageBreakBefore/>
      </w:pPr>
      <w:r>
        <w:rPr>
          <w:noProof/>
        </w:rPr>
        <w:lastRenderedPageBreak/>
        <mc:AlternateContent>
          <mc:Choice Requires="wps">
            <w:drawing>
              <wp:anchor distT="0" distB="0" distL="114300" distR="114300" simplePos="0" relativeHeight="251658256" behindDoc="1" locked="0" layoutInCell="1" allowOverlap="1" wp14:anchorId="30F7EF44" wp14:editId="090BBA22">
                <wp:simplePos x="0" y="0"/>
                <wp:positionH relativeFrom="column">
                  <wp:posOffset>0</wp:posOffset>
                </wp:positionH>
                <wp:positionV relativeFrom="paragraph">
                  <wp:posOffset>59055</wp:posOffset>
                </wp:positionV>
                <wp:extent cx="6126480" cy="365760"/>
                <wp:effectExtent l="0" t="190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6576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CAC59" id="Rectangle 2" o:spid="_x0000_s1026" style="position:absolute;margin-left:0;margin-top:4.65pt;width:482.4pt;height:28.8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" fillcolor="#969696" stroked="f"/>
            </w:pict>
          </mc:Fallback>
        </mc:AlternateContent>
      </w:r>
      <w:r w:rsidR="00040F2E">
        <w:t>Regional Planning Program</w:t>
      </w:r>
      <w:bookmarkEnd w:id="33"/>
    </w:p>
    <w:p w14:paraId="2F7AA3CF" w14:textId="77777777" w:rsidR="00040F2E" w:rsidRPr="00845165" w:rsidRDefault="00040F2E" w:rsidP="00845165">
      <w:pPr>
        <w:pStyle w:val="StyleHeading3ProgramSection"/>
      </w:pPr>
      <w:r w:rsidRPr="00845165">
        <w:t>Funds Available</w:t>
      </w:r>
      <w:r w:rsidRPr="00845165">
        <w:rPr>
          <w:u w:val="none"/>
        </w:rPr>
        <w:t xml:space="preserve">:   </w:t>
      </w:r>
      <w:r w:rsidRPr="00845165">
        <w:rPr>
          <w:u w:val="none"/>
        </w:rPr>
        <w:tab/>
        <w:t>$500,000</w:t>
      </w:r>
    </w:p>
    <w:p w14:paraId="0EEB0DF3" w14:textId="77777777" w:rsidR="00040F2E" w:rsidRDefault="00040F2E" w:rsidP="00040F2E">
      <w:pPr>
        <w:pStyle w:val="BodyText"/>
      </w:pPr>
    </w:p>
    <w:p w14:paraId="6A82DD45" w14:textId="77777777" w:rsidR="00040F2E" w:rsidRPr="00845165" w:rsidRDefault="00040F2E" w:rsidP="00845165">
      <w:pPr>
        <w:pStyle w:val="StyleHeading3ProgramSection"/>
      </w:pPr>
      <w:r w:rsidRPr="00845165">
        <w:t>Grant Maximum</w:t>
      </w:r>
      <w:r w:rsidRPr="00845165">
        <w:rPr>
          <w:u w:val="none"/>
        </w:rPr>
        <w:t xml:space="preserve">: </w:t>
      </w:r>
      <w:r w:rsidRPr="00845165">
        <w:rPr>
          <w:u w:val="none"/>
        </w:rPr>
        <w:tab/>
        <w:t>$50,000</w:t>
      </w:r>
      <w:r w:rsidR="00A36DDB">
        <w:rPr>
          <w:u w:val="none"/>
        </w:rPr>
        <w:t>*</w:t>
      </w:r>
    </w:p>
    <w:p w14:paraId="396F9089" w14:textId="77777777" w:rsidR="00040F2E" w:rsidRDefault="00040F2E" w:rsidP="00845165">
      <w:pPr>
        <w:pStyle w:val="BodyText"/>
      </w:pPr>
    </w:p>
    <w:p w14:paraId="0808A3E7" w14:textId="5AFFFA77" w:rsidR="00A36DDB" w:rsidRDefault="00A36DDB" w:rsidP="00A36DDB">
      <w:pPr>
        <w:pStyle w:val="BodyText"/>
      </w:pPr>
      <w:r>
        <w:t xml:space="preserve">* Waivers of the grant maximum may be considered for planning activities to conduct comprehensive fair housing </w:t>
      </w:r>
      <w:r w:rsidR="00845A7B">
        <w:t xml:space="preserve">studies </w:t>
      </w:r>
      <w:r>
        <w:t>within a region</w:t>
      </w:r>
      <w:r w:rsidR="00F00269">
        <w:t xml:space="preserve">, or other significant planning activities </w:t>
      </w:r>
      <w:r w:rsidR="00A70E82">
        <w:t xml:space="preserve">approved by the </w:t>
      </w:r>
      <w:r w:rsidR="00EA213E">
        <w:t xml:space="preserve">State CDBG Program </w:t>
      </w:r>
      <w:r w:rsidR="005E67B8">
        <w:t>that could lead to an eligible activity in</w:t>
      </w:r>
      <w:r w:rsidR="0071226E">
        <w:t xml:space="preserve"> our community and economic development programs</w:t>
      </w:r>
      <w:r>
        <w:t>.</w:t>
      </w:r>
      <w:r w:rsidR="00867ED1">
        <w:t xml:space="preserve"> </w:t>
      </w:r>
    </w:p>
    <w:p w14:paraId="4E847703" w14:textId="77777777" w:rsidR="009C1570" w:rsidRDefault="009C1570" w:rsidP="009C1570">
      <w:pPr>
        <w:pStyle w:val="BodyText"/>
      </w:pPr>
    </w:p>
    <w:p w14:paraId="4AD67A5E" w14:textId="513F71AB" w:rsidR="00867ED1" w:rsidRDefault="009C1570" w:rsidP="009C1570">
      <w:pPr>
        <w:pStyle w:val="BodyText"/>
      </w:pPr>
      <w:r>
        <w:t xml:space="preserve">Note: Regional Planning funds awarded under the </w:t>
      </w:r>
      <w:r w:rsidR="0085376E">
        <w:t xml:space="preserve">2024 </w:t>
      </w:r>
      <w:r>
        <w:t xml:space="preserve">Program Description may come from either the </w:t>
      </w:r>
      <w:r w:rsidR="0085376E">
        <w:t xml:space="preserve">2023 </w:t>
      </w:r>
      <w:r>
        <w:t xml:space="preserve">or the </w:t>
      </w:r>
      <w:r w:rsidR="0085376E">
        <w:t xml:space="preserve">2024 </w:t>
      </w:r>
      <w:r>
        <w:t xml:space="preserve">CDBG allocation. The funding allocation above is the amount set-aside out of the </w:t>
      </w:r>
      <w:r w:rsidR="0085376E">
        <w:t xml:space="preserve">2024 </w:t>
      </w:r>
      <w:r>
        <w:t xml:space="preserve">CDBG allocation for the Regional Planning program. The amount set-aside out of the </w:t>
      </w:r>
      <w:r w:rsidR="0085376E">
        <w:t xml:space="preserve">2023 </w:t>
      </w:r>
      <w:r>
        <w:t xml:space="preserve">allocation was also $500,000. All applications submitted after the start of the current </w:t>
      </w:r>
      <w:r w:rsidR="0085376E">
        <w:t xml:space="preserve">2024 </w:t>
      </w:r>
      <w:r>
        <w:t>program year, or April 1, are subject to the current Regional Planning Program requirements described in this section.</w:t>
      </w:r>
    </w:p>
    <w:p w14:paraId="21213E8B" w14:textId="77777777" w:rsidR="00A36DDB" w:rsidRPr="00845165" w:rsidRDefault="00A36DDB" w:rsidP="00845165">
      <w:pPr>
        <w:pStyle w:val="BodyText"/>
      </w:pPr>
    </w:p>
    <w:p w14:paraId="13691E89" w14:textId="77777777" w:rsidR="00040F2E" w:rsidRDefault="00040F2E" w:rsidP="00040F2E">
      <w:pPr>
        <w:pStyle w:val="Heading3ProgramSection"/>
      </w:pPr>
      <w:r>
        <w:t>Outcome</w:t>
      </w:r>
    </w:p>
    <w:p w14:paraId="42C51E8C" w14:textId="77777777" w:rsidR="00040F2E" w:rsidRDefault="00040F2E" w:rsidP="00040F2E">
      <w:pPr>
        <w:pStyle w:val="BodyText"/>
      </w:pPr>
      <w:r>
        <w:t>This program is designed to provide CDBG funds to Councils of Governments to assist local governments in developing plans and building local c</w:t>
      </w:r>
      <w:r w:rsidR="00957370">
        <w:t xml:space="preserve">ommunity development capacity. </w:t>
      </w:r>
      <w:r>
        <w:t xml:space="preserve">This assistance will build capacity to effectively determine community needs, long-term goals and short-term objectives, and develop plans for carrying out effective strategies to address community needs. </w:t>
      </w:r>
      <w:r w:rsidR="005E67B8">
        <w:t xml:space="preserve"> Specific activit</w:t>
      </w:r>
      <w:r w:rsidR="00F622BB">
        <w:t>i</w:t>
      </w:r>
      <w:r w:rsidR="005E67B8">
        <w:t xml:space="preserve">es related to the State’s Consolidated Plan and Analysis of Impediments to Fair Housing may be required. </w:t>
      </w:r>
      <w:r>
        <w:t>The planning assistance need not be limited to the jurisdiction of the applicant and will include both regional and local planning and technical assistance activities.</w:t>
      </w:r>
    </w:p>
    <w:p w14:paraId="1F31C437" w14:textId="77777777" w:rsidR="00C34381" w:rsidRDefault="00C34381" w:rsidP="00040F2E">
      <w:pPr>
        <w:pStyle w:val="BodyText"/>
      </w:pPr>
    </w:p>
    <w:p w14:paraId="53414646" w14:textId="77777777" w:rsidR="00040F2E" w:rsidRDefault="00040F2E" w:rsidP="003812EA">
      <w:pPr>
        <w:pStyle w:val="Heading3ProgramSection"/>
      </w:pPr>
      <w:bookmarkStart w:id="34" w:name="_Hlk130545210"/>
      <w:r>
        <w:t>Requirements</w:t>
      </w:r>
    </w:p>
    <w:p w14:paraId="0A31D289" w14:textId="77777777" w:rsidR="00040F2E" w:rsidRDefault="00040F2E" w:rsidP="00040F2E">
      <w:pPr>
        <w:pStyle w:val="BodyText"/>
      </w:pPr>
      <w:r>
        <w:t>One applicant from each regional planning district may apply for this assistance. Each of the counties within a regional planning district must enter into an Intergovernmental Agreement to apply for and implement regional planning assistance grants. This Agreement will designate a lead county to apply for the grant to comply with all requirements of the application and grant</w:t>
      </w:r>
      <w:r w:rsidR="006252F3">
        <w:t>, and it should be reviewed each year and updated as necessary to make sure it reflects current officials and jurisdictions</w:t>
      </w:r>
      <w:r>
        <w:t xml:space="preserve">. </w:t>
      </w:r>
      <w:bookmarkStart w:id="35" w:name="_Hlk130545346"/>
      <w:bookmarkEnd w:id="34"/>
      <w:r>
        <w:t>The lead county will enter into a 12-month subrecipient agreement with the Councils of Government to undertake the activities on behalf of the applican</w:t>
      </w:r>
      <w:r w:rsidR="00957370">
        <w:t xml:space="preserve">t. </w:t>
      </w:r>
      <w:r>
        <w:t xml:space="preserve">The subrecipient agreement will include specific performance </w:t>
      </w:r>
      <w:r w:rsidR="0038569A">
        <w:t xml:space="preserve">and reporting </w:t>
      </w:r>
      <w:r>
        <w:t xml:space="preserve">measures tied to the scope of work outlined in the application </w:t>
      </w:r>
      <w:r w:rsidR="00957370">
        <w:t xml:space="preserve">and other appropriate factors. </w:t>
      </w:r>
      <w:r>
        <w:t xml:space="preserve">Planning activities must be directly related to an activity which, if carried out, would be eligible under the CDBG program and meet one of the three national objectives -- benefit to low and moderate income persons, aid in the prevention or elimination of slums and blight, or meet other urgent community needs posing a serious threat to the health or welfare of the community where other financial resources are not available to meet such needs. </w:t>
      </w:r>
      <w:bookmarkEnd w:id="35"/>
    </w:p>
    <w:p w14:paraId="346682D9" w14:textId="77777777" w:rsidR="00941BD6" w:rsidRDefault="00941BD6" w:rsidP="00040F2E">
      <w:pPr>
        <w:pStyle w:val="BodyText"/>
      </w:pPr>
    </w:p>
    <w:p w14:paraId="5BB697B2" w14:textId="77777777" w:rsidR="00040F2E" w:rsidRDefault="00040F2E" w:rsidP="003812EA">
      <w:pPr>
        <w:pStyle w:val="Heading3ProgramSection"/>
      </w:pPr>
      <w:bookmarkStart w:id="36" w:name="_Hlk130544603"/>
      <w:r>
        <w:t>Performance Threshold</w:t>
      </w:r>
    </w:p>
    <w:p w14:paraId="5520F73B" w14:textId="77777777" w:rsidR="00EA213E" w:rsidRDefault="0030161D" w:rsidP="00040F2E">
      <w:pPr>
        <w:pStyle w:val="BodyText"/>
      </w:pPr>
      <w:r>
        <w:t xml:space="preserve">The </w:t>
      </w:r>
      <w:r w:rsidR="00F802F7">
        <w:t xml:space="preserve">previous year’s </w:t>
      </w:r>
      <w:r w:rsidR="00040F2E">
        <w:t>Regional Planning grant</w:t>
      </w:r>
      <w:r w:rsidR="005D051C">
        <w:t xml:space="preserve"> may still</w:t>
      </w:r>
      <w:r w:rsidR="005309FD">
        <w:t xml:space="preserve"> be open,</w:t>
      </w:r>
      <w:r w:rsidR="005D051C">
        <w:t xml:space="preserve"> where there are extenuating circumstances</w:t>
      </w:r>
      <w:r w:rsidR="005309FD">
        <w:t>,</w:t>
      </w:r>
      <w:r w:rsidR="00040F2E">
        <w:t xml:space="preserve"> </w:t>
      </w:r>
      <w:r>
        <w:t xml:space="preserve">at the time of </w:t>
      </w:r>
      <w:r w:rsidR="005309FD">
        <w:t xml:space="preserve">application for and </w:t>
      </w:r>
      <w:r>
        <w:t xml:space="preserve">award of the </w:t>
      </w:r>
      <w:r w:rsidR="00F802F7">
        <w:t xml:space="preserve">next </w:t>
      </w:r>
      <w:r w:rsidR="00040F2E">
        <w:t>Regional Planning Grant</w:t>
      </w:r>
      <w:r w:rsidR="005309FD">
        <w:t xml:space="preserve">. </w:t>
      </w:r>
      <w:r w:rsidR="00EA213E">
        <w:br/>
      </w:r>
    </w:p>
    <w:p w14:paraId="06E671D7" w14:textId="34DE7450" w:rsidR="005309FD" w:rsidRDefault="005309FD" w:rsidP="00040F2E">
      <w:pPr>
        <w:pStyle w:val="BodyText"/>
      </w:pPr>
      <w:r>
        <w:lastRenderedPageBreak/>
        <w:t>However:</w:t>
      </w:r>
    </w:p>
    <w:p w14:paraId="51AA0757" w14:textId="77777777" w:rsidR="005309FD" w:rsidRDefault="005309FD" w:rsidP="005309FD">
      <w:pPr>
        <w:pStyle w:val="BodyText"/>
        <w:numPr>
          <w:ilvl w:val="0"/>
          <w:numId w:val="25"/>
        </w:numPr>
      </w:pPr>
      <w:r>
        <w:t>Only one prior year planning grant can be open at the time of award. Any older planning grants must be programmatically closed prior to award of the new year’s planning grant.</w:t>
      </w:r>
    </w:p>
    <w:p w14:paraId="02E88454" w14:textId="60866EAB" w:rsidR="005309FD" w:rsidRDefault="005309FD" w:rsidP="005309FD">
      <w:pPr>
        <w:pStyle w:val="BodyText"/>
        <w:numPr>
          <w:ilvl w:val="0"/>
          <w:numId w:val="25"/>
        </w:numPr>
      </w:pPr>
      <w:r>
        <w:t>All prior planning grant funds must be fully expended,</w:t>
      </w:r>
      <w:r w:rsidR="00040F2E">
        <w:t xml:space="preserve"> or unused funds retu</w:t>
      </w:r>
      <w:r w:rsidR="00957370">
        <w:t xml:space="preserve">rned to </w:t>
      </w:r>
      <w:r w:rsidR="00B11EE8">
        <w:t>the State CDBG Program</w:t>
      </w:r>
      <w:r>
        <w:t xml:space="preserve">, as a startup condition of the new Planning Grant. </w:t>
      </w:r>
      <w:r w:rsidR="00B11EE8">
        <w:t xml:space="preserve">The State CDBG Program </w:t>
      </w:r>
      <w:r w:rsidR="00BB61EE">
        <w:t>will not release funds for the new year’s planning grant until this condition is met.</w:t>
      </w:r>
    </w:p>
    <w:p w14:paraId="4DBC4792" w14:textId="77777777" w:rsidR="00EA213E" w:rsidRDefault="00EA213E" w:rsidP="007B343D">
      <w:pPr>
        <w:pStyle w:val="BodyText"/>
      </w:pPr>
    </w:p>
    <w:p w14:paraId="2D293753" w14:textId="451F0485" w:rsidR="00040F2E" w:rsidRDefault="007B343D" w:rsidP="007B343D">
      <w:pPr>
        <w:pStyle w:val="BodyText"/>
      </w:pPr>
      <w:r>
        <w:t>Note that c</w:t>
      </w:r>
      <w:r w:rsidR="005309FD">
        <w:t xml:space="preserve">osts </w:t>
      </w:r>
      <w:r>
        <w:t xml:space="preserve">to be reimbursed under the new year’s planning grant </w:t>
      </w:r>
      <w:r w:rsidR="005309FD">
        <w:t xml:space="preserve">may be incurred beginning </w:t>
      </w:r>
      <w:r>
        <w:t xml:space="preserve">with </w:t>
      </w:r>
      <w:r w:rsidR="005309FD">
        <w:t>the date of award</w:t>
      </w:r>
      <w:r>
        <w:t xml:space="preserve">, </w:t>
      </w:r>
      <w:r w:rsidR="005309FD">
        <w:t xml:space="preserve">which </w:t>
      </w:r>
      <w:r>
        <w:t xml:space="preserve">for Program Year </w:t>
      </w:r>
      <w:r w:rsidR="0085376E">
        <w:t xml:space="preserve">2024 </w:t>
      </w:r>
      <w:r w:rsidR="005309FD">
        <w:t xml:space="preserve">is expected to be June </w:t>
      </w:r>
      <w:r w:rsidR="0085376E">
        <w:t>202</w:t>
      </w:r>
      <w:r w:rsidR="00B11EE8">
        <w:t>5</w:t>
      </w:r>
      <w:r w:rsidR="00957370">
        <w:t xml:space="preserve">. </w:t>
      </w:r>
      <w:bookmarkEnd w:id="36"/>
    </w:p>
    <w:p w14:paraId="213C3676" w14:textId="77777777" w:rsidR="00040F2E" w:rsidRDefault="00040F2E" w:rsidP="00040F2E">
      <w:pPr>
        <w:pStyle w:val="BodyText"/>
      </w:pPr>
    </w:p>
    <w:p w14:paraId="1E02060A" w14:textId="77777777" w:rsidR="00040F2E" w:rsidRDefault="00040F2E" w:rsidP="003812EA">
      <w:pPr>
        <w:pStyle w:val="Heading3ProgramSection"/>
      </w:pPr>
      <w:r>
        <w:t>Application Deadlines and Selection Process</w:t>
      </w:r>
    </w:p>
    <w:p w14:paraId="4EAE77D0" w14:textId="77777777" w:rsidR="003812EA" w:rsidRDefault="003812EA" w:rsidP="00040F2E">
      <w:pPr>
        <w:pStyle w:val="BodyText"/>
        <w:rPr>
          <w:b/>
          <w:bCs/>
        </w:rPr>
      </w:pPr>
    </w:p>
    <w:p w14:paraId="163739A9" w14:textId="77777777" w:rsidR="003812EA" w:rsidRDefault="003812EA" w:rsidP="003812EA">
      <w:pPr>
        <w:pStyle w:val="BulletIndent-noBullet"/>
      </w:pPr>
      <w:r>
        <w:t>Applications due:</w:t>
      </w:r>
      <w:r>
        <w:tab/>
      </w:r>
      <w:r w:rsidR="00335233" w:rsidRPr="00EE4A45">
        <w:rPr>
          <w:b/>
        </w:rPr>
        <w:t>May</w:t>
      </w:r>
      <w:r w:rsidR="008771A7" w:rsidRPr="00EE4A45">
        <w:rPr>
          <w:b/>
        </w:rPr>
        <w:t xml:space="preserve"> </w:t>
      </w:r>
      <w:r w:rsidR="0085376E">
        <w:rPr>
          <w:b/>
        </w:rPr>
        <w:t>5, 2025</w:t>
      </w:r>
      <w:r w:rsidR="008F16F9" w:rsidRPr="00EE4A45">
        <w:rPr>
          <w:b/>
        </w:rPr>
        <w:t xml:space="preserve"> </w:t>
      </w:r>
      <w:r w:rsidRPr="00EE4A45">
        <w:rPr>
          <w:b/>
        </w:rPr>
        <w:t>at 5:00 p.m.</w:t>
      </w:r>
    </w:p>
    <w:p w14:paraId="5FABCCBA" w14:textId="77777777" w:rsidR="00040F2E" w:rsidRDefault="00040F2E" w:rsidP="00040F2E">
      <w:pPr>
        <w:pStyle w:val="BodyText"/>
      </w:pPr>
    </w:p>
    <w:p w14:paraId="5CD9EE95" w14:textId="77777777" w:rsidR="00040F2E" w:rsidRDefault="00040F2E" w:rsidP="00040F2E">
      <w:pPr>
        <w:pStyle w:val="BodyText"/>
      </w:pPr>
      <w:r>
        <w:t>Only one application will be funded within each of the ten pl</w:t>
      </w:r>
      <w:r w:rsidR="00957370">
        <w:t xml:space="preserve">anning districts of the State. </w:t>
      </w:r>
      <w:r>
        <w:t xml:space="preserve">The awards will be based on completion of an acceptable application, which complies with the program description requirements.  </w:t>
      </w:r>
    </w:p>
    <w:bookmarkEnd w:id="0"/>
    <w:bookmarkEnd w:id="1"/>
    <w:p w14:paraId="2FA2C35D" w14:textId="77777777" w:rsidR="00040F2E" w:rsidRDefault="00040F2E" w:rsidP="00040F2E">
      <w:pPr>
        <w:pStyle w:val="BodyText"/>
      </w:pPr>
    </w:p>
    <w:sectPr w:rsidR="00040F2E" w:rsidSect="00960D95">
      <w:footerReference w:type="default" r:id="rId20"/>
      <w:pgSz w:w="12240" w:h="15840" w:code="1"/>
      <w:pgMar w:top="1440" w:right="1440" w:bottom="864" w:left="1440"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97F56" w14:textId="77777777" w:rsidR="00362A15" w:rsidRDefault="00362A15">
      <w:r>
        <w:separator/>
      </w:r>
    </w:p>
  </w:endnote>
  <w:endnote w:type="continuationSeparator" w:id="0">
    <w:p w14:paraId="648AAB46" w14:textId="77777777" w:rsidR="00362A15" w:rsidRDefault="00362A15">
      <w:r>
        <w:continuationSeparator/>
      </w:r>
    </w:p>
  </w:endnote>
  <w:endnote w:type="continuationNotice" w:id="1">
    <w:p w14:paraId="4F9826DE" w14:textId="77777777" w:rsidR="00362A15" w:rsidRDefault="0036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Zapf Dingbats">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ook Antiqua">
    <w:altName w:val="Georgia"/>
    <w:panose1 w:val="02040602050305030304"/>
    <w:charset w:val="00"/>
    <w:family w:val="roman"/>
    <w:pitch w:val="variable"/>
    <w:sig w:usb0="00000287" w:usb1="00000000" w:usb2="00000000" w:usb3="00000000" w:csb0="0000009F" w:csb1="00000000"/>
  </w:font>
  <w:font w:name="Times Roman">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73DF" w14:textId="77777777" w:rsidR="00A45235" w:rsidRDefault="00A4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0508" w14:textId="77777777" w:rsidR="00A45235" w:rsidRDefault="00A45235" w:rsidP="001661C2">
    <w:pPr>
      <w:pStyle w:val="Footer"/>
      <w:jc w:val="center"/>
    </w:pPr>
    <w:r>
      <w:rPr>
        <w:rStyle w:val="PageNumber"/>
      </w:rPr>
      <w:fldChar w:fldCharType="begin"/>
    </w:r>
    <w:r>
      <w:rPr>
        <w:rStyle w:val="PageNumber"/>
      </w:rPr>
      <w:instrText xml:space="preserve"> PAGE </w:instrText>
    </w:r>
    <w:r>
      <w:rPr>
        <w:rStyle w:val="PageNumber"/>
      </w:rPr>
      <w:fldChar w:fldCharType="separate"/>
    </w:r>
    <w:r w:rsidR="008B5E67">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652B" w14:textId="71947C1D" w:rsidR="00A45235" w:rsidRPr="00BD4CEA" w:rsidRDefault="00EB3A02" w:rsidP="00180FB4">
    <w:pPr>
      <w:pStyle w:val="Footer"/>
      <w:tabs>
        <w:tab w:val="clear" w:pos="8640"/>
        <w:tab w:val="right" w:pos="9360"/>
      </w:tabs>
      <w:rPr>
        <w:rFonts w:ascii="Arial" w:hAnsi="Arial" w:cs="Arial"/>
        <w:sz w:val="18"/>
        <w:szCs w:val="18"/>
      </w:rPr>
    </w:pPr>
    <w:r>
      <w:rPr>
        <w:rFonts w:ascii="Arial" w:hAnsi="Arial" w:cs="Arial"/>
        <w:sz w:val="18"/>
        <w:szCs w:val="18"/>
      </w:rPr>
      <w:t>2024-2025</w:t>
    </w:r>
    <w:r w:rsidR="00734B13">
      <w:rPr>
        <w:rFonts w:ascii="Arial" w:hAnsi="Arial" w:cs="Arial"/>
        <w:sz w:val="18"/>
        <w:szCs w:val="18"/>
      </w:rPr>
      <w:t xml:space="preserve"> </w:t>
    </w:r>
    <w:r w:rsidR="00A45235" w:rsidRPr="00BD4CEA">
      <w:rPr>
        <w:rFonts w:ascii="Arial" w:hAnsi="Arial" w:cs="Arial"/>
        <w:sz w:val="18"/>
        <w:szCs w:val="18"/>
      </w:rPr>
      <w:t>CDBG Program Description</w:t>
    </w:r>
    <w:r w:rsidR="00A45235" w:rsidRPr="00BD4CEA">
      <w:rPr>
        <w:rFonts w:ascii="Arial" w:hAnsi="Arial" w:cs="Arial"/>
        <w:sz w:val="18"/>
        <w:szCs w:val="18"/>
      </w:rPr>
      <w:tab/>
    </w:r>
    <w:r w:rsidR="00A45235" w:rsidRPr="00BD4CEA">
      <w:rPr>
        <w:rFonts w:ascii="Arial" w:hAnsi="Arial" w:cs="Arial"/>
        <w:sz w:val="18"/>
        <w:szCs w:val="18"/>
      </w:rPr>
      <w:tab/>
    </w:r>
    <w:r w:rsidR="00A45235" w:rsidRPr="00BD4CEA">
      <w:rPr>
        <w:rStyle w:val="PageNumber"/>
        <w:rFonts w:ascii="Arial" w:hAnsi="Arial" w:cs="Arial"/>
        <w:sz w:val="18"/>
        <w:szCs w:val="18"/>
      </w:rPr>
      <w:fldChar w:fldCharType="begin"/>
    </w:r>
    <w:r w:rsidR="00A45235" w:rsidRPr="00BD4CEA">
      <w:rPr>
        <w:rStyle w:val="PageNumber"/>
        <w:rFonts w:ascii="Arial" w:hAnsi="Arial" w:cs="Arial"/>
        <w:sz w:val="18"/>
        <w:szCs w:val="18"/>
      </w:rPr>
      <w:instrText xml:space="preserve"> PAGE </w:instrText>
    </w:r>
    <w:r w:rsidR="00A45235" w:rsidRPr="00BD4CEA">
      <w:rPr>
        <w:rStyle w:val="PageNumber"/>
        <w:rFonts w:ascii="Arial" w:hAnsi="Arial" w:cs="Arial"/>
        <w:sz w:val="18"/>
        <w:szCs w:val="18"/>
      </w:rPr>
      <w:fldChar w:fldCharType="separate"/>
    </w:r>
    <w:r w:rsidR="008B5E67">
      <w:rPr>
        <w:rStyle w:val="PageNumber"/>
        <w:rFonts w:ascii="Arial" w:hAnsi="Arial" w:cs="Arial"/>
        <w:noProof/>
        <w:sz w:val="18"/>
        <w:szCs w:val="18"/>
      </w:rPr>
      <w:t>28</w:t>
    </w:r>
    <w:r w:rsidR="00A45235" w:rsidRPr="00BD4CEA">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3DB94" w14:textId="77777777" w:rsidR="00362A15" w:rsidRDefault="00362A15">
      <w:r>
        <w:separator/>
      </w:r>
    </w:p>
  </w:footnote>
  <w:footnote w:type="continuationSeparator" w:id="0">
    <w:p w14:paraId="31D7AF49" w14:textId="77777777" w:rsidR="00362A15" w:rsidRDefault="00362A15">
      <w:r>
        <w:continuationSeparator/>
      </w:r>
    </w:p>
  </w:footnote>
  <w:footnote w:type="continuationNotice" w:id="1">
    <w:p w14:paraId="66C86C50" w14:textId="77777777" w:rsidR="00362A15" w:rsidRDefault="00362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0DCB"/>
    <w:multiLevelType w:val="hybridMultilevel"/>
    <w:tmpl w:val="BB18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C0D4E"/>
    <w:multiLevelType w:val="hybridMultilevel"/>
    <w:tmpl w:val="1946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1CDA"/>
    <w:multiLevelType w:val="hybridMultilevel"/>
    <w:tmpl w:val="3580F0D2"/>
    <w:lvl w:ilvl="0" w:tplc="04090001">
      <w:start w:val="1"/>
      <w:numFmt w:val="bullet"/>
      <w:lvlText w:val=""/>
      <w:lvlJc w:val="left"/>
      <w:pPr>
        <w:tabs>
          <w:tab w:val="num" w:pos="840"/>
        </w:tabs>
        <w:ind w:left="840" w:hanging="360"/>
      </w:pPr>
      <w:rPr>
        <w:rFonts w:ascii="Symbol" w:hAnsi="Symbol"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17FF54B5"/>
    <w:multiLevelType w:val="hybridMultilevel"/>
    <w:tmpl w:val="D4A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B3761"/>
    <w:multiLevelType w:val="hybridMultilevel"/>
    <w:tmpl w:val="FFFFFFFF"/>
    <w:lvl w:ilvl="0" w:tplc="9DA06ADC">
      <w:start w:val="1"/>
      <w:numFmt w:val="bullet"/>
      <w:lvlText w:val=""/>
      <w:lvlJc w:val="left"/>
      <w:pPr>
        <w:ind w:left="720" w:hanging="360"/>
      </w:pPr>
      <w:rPr>
        <w:rFonts w:ascii="Symbol" w:hAnsi="Symbol" w:hint="default"/>
      </w:rPr>
    </w:lvl>
    <w:lvl w:ilvl="1" w:tplc="0F242906">
      <w:start w:val="1"/>
      <w:numFmt w:val="bullet"/>
      <w:lvlText w:val="o"/>
      <w:lvlJc w:val="left"/>
      <w:pPr>
        <w:ind w:left="1440" w:hanging="360"/>
      </w:pPr>
      <w:rPr>
        <w:rFonts w:ascii="Courier New" w:hAnsi="Courier New" w:hint="default"/>
      </w:rPr>
    </w:lvl>
    <w:lvl w:ilvl="2" w:tplc="15B05E14">
      <w:start w:val="1"/>
      <w:numFmt w:val="bullet"/>
      <w:lvlText w:val=""/>
      <w:lvlJc w:val="left"/>
      <w:pPr>
        <w:ind w:left="2160" w:hanging="360"/>
      </w:pPr>
      <w:rPr>
        <w:rFonts w:ascii="Wingdings" w:hAnsi="Wingdings" w:hint="default"/>
      </w:rPr>
    </w:lvl>
    <w:lvl w:ilvl="3" w:tplc="7CBA5682">
      <w:start w:val="1"/>
      <w:numFmt w:val="bullet"/>
      <w:lvlText w:val=""/>
      <w:lvlJc w:val="left"/>
      <w:pPr>
        <w:ind w:left="2880" w:hanging="360"/>
      </w:pPr>
      <w:rPr>
        <w:rFonts w:ascii="Symbol" w:hAnsi="Symbol" w:hint="default"/>
      </w:rPr>
    </w:lvl>
    <w:lvl w:ilvl="4" w:tplc="4968A1D2">
      <w:start w:val="1"/>
      <w:numFmt w:val="bullet"/>
      <w:lvlText w:val="o"/>
      <w:lvlJc w:val="left"/>
      <w:pPr>
        <w:ind w:left="3600" w:hanging="360"/>
      </w:pPr>
      <w:rPr>
        <w:rFonts w:ascii="Courier New" w:hAnsi="Courier New" w:hint="default"/>
      </w:rPr>
    </w:lvl>
    <w:lvl w:ilvl="5" w:tplc="A3880608">
      <w:start w:val="1"/>
      <w:numFmt w:val="bullet"/>
      <w:lvlText w:val=""/>
      <w:lvlJc w:val="left"/>
      <w:pPr>
        <w:ind w:left="4320" w:hanging="360"/>
      </w:pPr>
      <w:rPr>
        <w:rFonts w:ascii="Wingdings" w:hAnsi="Wingdings" w:hint="default"/>
      </w:rPr>
    </w:lvl>
    <w:lvl w:ilvl="6" w:tplc="AAC85BB8">
      <w:start w:val="1"/>
      <w:numFmt w:val="bullet"/>
      <w:lvlText w:val=""/>
      <w:lvlJc w:val="left"/>
      <w:pPr>
        <w:ind w:left="5040" w:hanging="360"/>
      </w:pPr>
      <w:rPr>
        <w:rFonts w:ascii="Symbol" w:hAnsi="Symbol" w:hint="default"/>
      </w:rPr>
    </w:lvl>
    <w:lvl w:ilvl="7" w:tplc="0E9CD2D4">
      <w:start w:val="1"/>
      <w:numFmt w:val="bullet"/>
      <w:lvlText w:val="o"/>
      <w:lvlJc w:val="left"/>
      <w:pPr>
        <w:ind w:left="5760" w:hanging="360"/>
      </w:pPr>
      <w:rPr>
        <w:rFonts w:ascii="Courier New" w:hAnsi="Courier New" w:hint="default"/>
      </w:rPr>
    </w:lvl>
    <w:lvl w:ilvl="8" w:tplc="AC1A088C">
      <w:start w:val="1"/>
      <w:numFmt w:val="bullet"/>
      <w:lvlText w:val=""/>
      <w:lvlJc w:val="left"/>
      <w:pPr>
        <w:ind w:left="6480" w:hanging="360"/>
      </w:pPr>
      <w:rPr>
        <w:rFonts w:ascii="Wingdings" w:hAnsi="Wingdings" w:hint="default"/>
      </w:rPr>
    </w:lvl>
  </w:abstractNum>
  <w:abstractNum w:abstractNumId="5" w15:restartNumberingAfterBreak="0">
    <w:nsid w:val="1E2F4A29"/>
    <w:multiLevelType w:val="hybridMultilevel"/>
    <w:tmpl w:val="FFFFFFFF"/>
    <w:lvl w:ilvl="0" w:tplc="80407D16">
      <w:start w:val="1"/>
      <w:numFmt w:val="bullet"/>
      <w:lvlText w:val=""/>
      <w:lvlJc w:val="left"/>
      <w:pPr>
        <w:ind w:left="720" w:hanging="360"/>
      </w:pPr>
      <w:rPr>
        <w:rFonts w:ascii="Symbol" w:hAnsi="Symbol" w:hint="default"/>
      </w:rPr>
    </w:lvl>
    <w:lvl w:ilvl="1" w:tplc="35927374">
      <w:start w:val="1"/>
      <w:numFmt w:val="bullet"/>
      <w:lvlText w:val="o"/>
      <w:lvlJc w:val="left"/>
      <w:pPr>
        <w:ind w:left="1440" w:hanging="360"/>
      </w:pPr>
      <w:rPr>
        <w:rFonts w:ascii="Courier New" w:hAnsi="Courier New" w:hint="default"/>
      </w:rPr>
    </w:lvl>
    <w:lvl w:ilvl="2" w:tplc="A8E4AC2A">
      <w:start w:val="1"/>
      <w:numFmt w:val="bullet"/>
      <w:lvlText w:val=""/>
      <w:lvlJc w:val="left"/>
      <w:pPr>
        <w:ind w:left="2160" w:hanging="360"/>
      </w:pPr>
      <w:rPr>
        <w:rFonts w:ascii="Wingdings" w:hAnsi="Wingdings" w:hint="default"/>
      </w:rPr>
    </w:lvl>
    <w:lvl w:ilvl="3" w:tplc="383CE206">
      <w:start w:val="1"/>
      <w:numFmt w:val="bullet"/>
      <w:lvlText w:val=""/>
      <w:lvlJc w:val="left"/>
      <w:pPr>
        <w:ind w:left="2880" w:hanging="360"/>
      </w:pPr>
      <w:rPr>
        <w:rFonts w:ascii="Symbol" w:hAnsi="Symbol" w:hint="default"/>
      </w:rPr>
    </w:lvl>
    <w:lvl w:ilvl="4" w:tplc="7F22C5F6">
      <w:start w:val="1"/>
      <w:numFmt w:val="bullet"/>
      <w:lvlText w:val="o"/>
      <w:lvlJc w:val="left"/>
      <w:pPr>
        <w:ind w:left="3600" w:hanging="360"/>
      </w:pPr>
      <w:rPr>
        <w:rFonts w:ascii="Courier New" w:hAnsi="Courier New" w:hint="default"/>
      </w:rPr>
    </w:lvl>
    <w:lvl w:ilvl="5" w:tplc="EBD84D02">
      <w:start w:val="1"/>
      <w:numFmt w:val="bullet"/>
      <w:lvlText w:val=""/>
      <w:lvlJc w:val="left"/>
      <w:pPr>
        <w:ind w:left="4320" w:hanging="360"/>
      </w:pPr>
      <w:rPr>
        <w:rFonts w:ascii="Wingdings" w:hAnsi="Wingdings" w:hint="default"/>
      </w:rPr>
    </w:lvl>
    <w:lvl w:ilvl="6" w:tplc="B7DE47B0">
      <w:start w:val="1"/>
      <w:numFmt w:val="bullet"/>
      <w:lvlText w:val=""/>
      <w:lvlJc w:val="left"/>
      <w:pPr>
        <w:ind w:left="5040" w:hanging="360"/>
      </w:pPr>
      <w:rPr>
        <w:rFonts w:ascii="Symbol" w:hAnsi="Symbol" w:hint="default"/>
      </w:rPr>
    </w:lvl>
    <w:lvl w:ilvl="7" w:tplc="AD6A2D84">
      <w:start w:val="1"/>
      <w:numFmt w:val="bullet"/>
      <w:lvlText w:val="o"/>
      <w:lvlJc w:val="left"/>
      <w:pPr>
        <w:ind w:left="5760" w:hanging="360"/>
      </w:pPr>
      <w:rPr>
        <w:rFonts w:ascii="Courier New" w:hAnsi="Courier New" w:hint="default"/>
      </w:rPr>
    </w:lvl>
    <w:lvl w:ilvl="8" w:tplc="653E907C">
      <w:start w:val="1"/>
      <w:numFmt w:val="bullet"/>
      <w:lvlText w:val=""/>
      <w:lvlJc w:val="left"/>
      <w:pPr>
        <w:ind w:left="6480" w:hanging="360"/>
      </w:pPr>
      <w:rPr>
        <w:rFonts w:ascii="Wingdings" w:hAnsi="Wingdings" w:hint="default"/>
      </w:rPr>
    </w:lvl>
  </w:abstractNum>
  <w:abstractNum w:abstractNumId="6" w15:restartNumberingAfterBreak="0">
    <w:nsid w:val="27B436A0"/>
    <w:multiLevelType w:val="hybridMultilevel"/>
    <w:tmpl w:val="FFFFFFFF"/>
    <w:lvl w:ilvl="0" w:tplc="FA6457F0">
      <w:start w:val="1"/>
      <w:numFmt w:val="bullet"/>
      <w:lvlText w:val=""/>
      <w:lvlJc w:val="left"/>
      <w:pPr>
        <w:ind w:left="720" w:hanging="360"/>
      </w:pPr>
      <w:rPr>
        <w:rFonts w:ascii="Symbol" w:hAnsi="Symbol" w:hint="default"/>
      </w:rPr>
    </w:lvl>
    <w:lvl w:ilvl="1" w:tplc="F5AC9182">
      <w:start w:val="1"/>
      <w:numFmt w:val="bullet"/>
      <w:lvlText w:val="o"/>
      <w:lvlJc w:val="left"/>
      <w:pPr>
        <w:ind w:left="1440" w:hanging="360"/>
      </w:pPr>
      <w:rPr>
        <w:rFonts w:ascii="Courier New" w:hAnsi="Courier New" w:hint="default"/>
      </w:rPr>
    </w:lvl>
    <w:lvl w:ilvl="2" w:tplc="A962C1EC">
      <w:start w:val="1"/>
      <w:numFmt w:val="bullet"/>
      <w:lvlText w:val=""/>
      <w:lvlJc w:val="left"/>
      <w:pPr>
        <w:ind w:left="2160" w:hanging="360"/>
      </w:pPr>
      <w:rPr>
        <w:rFonts w:ascii="Wingdings" w:hAnsi="Wingdings" w:hint="default"/>
      </w:rPr>
    </w:lvl>
    <w:lvl w:ilvl="3" w:tplc="00ECBA04">
      <w:start w:val="1"/>
      <w:numFmt w:val="bullet"/>
      <w:lvlText w:val=""/>
      <w:lvlJc w:val="left"/>
      <w:pPr>
        <w:ind w:left="2880" w:hanging="360"/>
      </w:pPr>
      <w:rPr>
        <w:rFonts w:ascii="Symbol" w:hAnsi="Symbol" w:hint="default"/>
      </w:rPr>
    </w:lvl>
    <w:lvl w:ilvl="4" w:tplc="B4187B14">
      <w:start w:val="1"/>
      <w:numFmt w:val="bullet"/>
      <w:lvlText w:val="o"/>
      <w:lvlJc w:val="left"/>
      <w:pPr>
        <w:ind w:left="3600" w:hanging="360"/>
      </w:pPr>
      <w:rPr>
        <w:rFonts w:ascii="Courier New" w:hAnsi="Courier New" w:hint="default"/>
      </w:rPr>
    </w:lvl>
    <w:lvl w:ilvl="5" w:tplc="3BF21BCE">
      <w:start w:val="1"/>
      <w:numFmt w:val="bullet"/>
      <w:lvlText w:val=""/>
      <w:lvlJc w:val="left"/>
      <w:pPr>
        <w:ind w:left="4320" w:hanging="360"/>
      </w:pPr>
      <w:rPr>
        <w:rFonts w:ascii="Wingdings" w:hAnsi="Wingdings" w:hint="default"/>
      </w:rPr>
    </w:lvl>
    <w:lvl w:ilvl="6" w:tplc="05864E8C">
      <w:start w:val="1"/>
      <w:numFmt w:val="bullet"/>
      <w:lvlText w:val=""/>
      <w:lvlJc w:val="left"/>
      <w:pPr>
        <w:ind w:left="5040" w:hanging="360"/>
      </w:pPr>
      <w:rPr>
        <w:rFonts w:ascii="Symbol" w:hAnsi="Symbol" w:hint="default"/>
      </w:rPr>
    </w:lvl>
    <w:lvl w:ilvl="7" w:tplc="B088F3AE">
      <w:start w:val="1"/>
      <w:numFmt w:val="bullet"/>
      <w:lvlText w:val="o"/>
      <w:lvlJc w:val="left"/>
      <w:pPr>
        <w:ind w:left="5760" w:hanging="360"/>
      </w:pPr>
      <w:rPr>
        <w:rFonts w:ascii="Courier New" w:hAnsi="Courier New" w:hint="default"/>
      </w:rPr>
    </w:lvl>
    <w:lvl w:ilvl="8" w:tplc="E67A660C">
      <w:start w:val="1"/>
      <w:numFmt w:val="bullet"/>
      <w:lvlText w:val=""/>
      <w:lvlJc w:val="left"/>
      <w:pPr>
        <w:ind w:left="6480" w:hanging="360"/>
      </w:pPr>
      <w:rPr>
        <w:rFonts w:ascii="Wingdings" w:hAnsi="Wingdings" w:hint="default"/>
      </w:rPr>
    </w:lvl>
  </w:abstractNum>
  <w:abstractNum w:abstractNumId="7" w15:restartNumberingAfterBreak="0">
    <w:nsid w:val="28BF66DC"/>
    <w:multiLevelType w:val="hybridMultilevel"/>
    <w:tmpl w:val="A538E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85C97"/>
    <w:multiLevelType w:val="hybridMultilevel"/>
    <w:tmpl w:val="09A435F4"/>
    <w:lvl w:ilvl="0" w:tplc="2A44DCFE">
      <w:start w:val="1"/>
      <w:numFmt w:val="bullet"/>
      <w:lvlText w:val=""/>
      <w:lvlJc w:val="left"/>
      <w:pPr>
        <w:tabs>
          <w:tab w:val="num" w:pos="450"/>
        </w:tabs>
        <w:ind w:left="90" w:firstLine="0"/>
      </w:pPr>
      <w:rPr>
        <w:rFonts w:ascii="Webdings" w:hAnsi="Web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F3815"/>
    <w:multiLevelType w:val="hybridMultilevel"/>
    <w:tmpl w:val="76E46D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701842"/>
    <w:multiLevelType w:val="hybridMultilevel"/>
    <w:tmpl w:val="C4709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97ABE"/>
    <w:multiLevelType w:val="hybridMultilevel"/>
    <w:tmpl w:val="FFFFFFFF"/>
    <w:lvl w:ilvl="0" w:tplc="662034D0">
      <w:start w:val="1"/>
      <w:numFmt w:val="bullet"/>
      <w:lvlText w:val=""/>
      <w:lvlJc w:val="left"/>
      <w:pPr>
        <w:ind w:left="720" w:hanging="360"/>
      </w:pPr>
      <w:rPr>
        <w:rFonts w:ascii="Symbol" w:hAnsi="Symbol" w:hint="default"/>
      </w:rPr>
    </w:lvl>
    <w:lvl w:ilvl="1" w:tplc="A2040858">
      <w:start w:val="1"/>
      <w:numFmt w:val="bullet"/>
      <w:lvlText w:val="o"/>
      <w:lvlJc w:val="left"/>
      <w:pPr>
        <w:ind w:left="1440" w:hanging="360"/>
      </w:pPr>
      <w:rPr>
        <w:rFonts w:ascii="Courier New" w:hAnsi="Courier New" w:hint="default"/>
      </w:rPr>
    </w:lvl>
    <w:lvl w:ilvl="2" w:tplc="56E28518">
      <w:start w:val="1"/>
      <w:numFmt w:val="bullet"/>
      <w:lvlText w:val=""/>
      <w:lvlJc w:val="left"/>
      <w:pPr>
        <w:ind w:left="2160" w:hanging="360"/>
      </w:pPr>
      <w:rPr>
        <w:rFonts w:ascii="Wingdings" w:hAnsi="Wingdings" w:hint="default"/>
      </w:rPr>
    </w:lvl>
    <w:lvl w:ilvl="3" w:tplc="666A9156">
      <w:start w:val="1"/>
      <w:numFmt w:val="bullet"/>
      <w:lvlText w:val=""/>
      <w:lvlJc w:val="left"/>
      <w:pPr>
        <w:ind w:left="2880" w:hanging="360"/>
      </w:pPr>
      <w:rPr>
        <w:rFonts w:ascii="Symbol" w:hAnsi="Symbol" w:hint="default"/>
      </w:rPr>
    </w:lvl>
    <w:lvl w:ilvl="4" w:tplc="25B87EA0">
      <w:start w:val="1"/>
      <w:numFmt w:val="bullet"/>
      <w:lvlText w:val="o"/>
      <w:lvlJc w:val="left"/>
      <w:pPr>
        <w:ind w:left="3600" w:hanging="360"/>
      </w:pPr>
      <w:rPr>
        <w:rFonts w:ascii="Courier New" w:hAnsi="Courier New" w:hint="default"/>
      </w:rPr>
    </w:lvl>
    <w:lvl w:ilvl="5" w:tplc="4254FA7A">
      <w:start w:val="1"/>
      <w:numFmt w:val="bullet"/>
      <w:lvlText w:val=""/>
      <w:lvlJc w:val="left"/>
      <w:pPr>
        <w:ind w:left="4320" w:hanging="360"/>
      </w:pPr>
      <w:rPr>
        <w:rFonts w:ascii="Wingdings" w:hAnsi="Wingdings" w:hint="default"/>
      </w:rPr>
    </w:lvl>
    <w:lvl w:ilvl="6" w:tplc="A8B49514">
      <w:start w:val="1"/>
      <w:numFmt w:val="bullet"/>
      <w:lvlText w:val=""/>
      <w:lvlJc w:val="left"/>
      <w:pPr>
        <w:ind w:left="5040" w:hanging="360"/>
      </w:pPr>
      <w:rPr>
        <w:rFonts w:ascii="Symbol" w:hAnsi="Symbol" w:hint="default"/>
      </w:rPr>
    </w:lvl>
    <w:lvl w:ilvl="7" w:tplc="AD787A5A">
      <w:start w:val="1"/>
      <w:numFmt w:val="bullet"/>
      <w:lvlText w:val="o"/>
      <w:lvlJc w:val="left"/>
      <w:pPr>
        <w:ind w:left="5760" w:hanging="360"/>
      </w:pPr>
      <w:rPr>
        <w:rFonts w:ascii="Courier New" w:hAnsi="Courier New" w:hint="default"/>
      </w:rPr>
    </w:lvl>
    <w:lvl w:ilvl="8" w:tplc="59825582">
      <w:start w:val="1"/>
      <w:numFmt w:val="bullet"/>
      <w:lvlText w:val=""/>
      <w:lvlJc w:val="left"/>
      <w:pPr>
        <w:ind w:left="6480" w:hanging="360"/>
      </w:pPr>
      <w:rPr>
        <w:rFonts w:ascii="Wingdings" w:hAnsi="Wingdings" w:hint="default"/>
      </w:rPr>
    </w:lvl>
  </w:abstractNum>
  <w:abstractNum w:abstractNumId="12" w15:restartNumberingAfterBreak="0">
    <w:nsid w:val="30376572"/>
    <w:multiLevelType w:val="hybridMultilevel"/>
    <w:tmpl w:val="14E63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D454E"/>
    <w:multiLevelType w:val="hybridMultilevel"/>
    <w:tmpl w:val="228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576E5"/>
    <w:multiLevelType w:val="hybridMultilevel"/>
    <w:tmpl w:val="E5D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F7282"/>
    <w:multiLevelType w:val="hybridMultilevel"/>
    <w:tmpl w:val="FFFFFFFF"/>
    <w:lvl w:ilvl="0" w:tplc="78B89548">
      <w:start w:val="1"/>
      <w:numFmt w:val="bullet"/>
      <w:lvlText w:val=""/>
      <w:lvlJc w:val="left"/>
      <w:pPr>
        <w:ind w:left="720" w:hanging="360"/>
      </w:pPr>
      <w:rPr>
        <w:rFonts w:ascii="Symbol" w:hAnsi="Symbol" w:hint="default"/>
      </w:rPr>
    </w:lvl>
    <w:lvl w:ilvl="1" w:tplc="78E68E6E">
      <w:start w:val="1"/>
      <w:numFmt w:val="bullet"/>
      <w:lvlText w:val="o"/>
      <w:lvlJc w:val="left"/>
      <w:pPr>
        <w:ind w:left="1440" w:hanging="360"/>
      </w:pPr>
      <w:rPr>
        <w:rFonts w:ascii="Courier New" w:hAnsi="Courier New" w:hint="default"/>
      </w:rPr>
    </w:lvl>
    <w:lvl w:ilvl="2" w:tplc="9F261E8C">
      <w:start w:val="1"/>
      <w:numFmt w:val="bullet"/>
      <w:lvlText w:val=""/>
      <w:lvlJc w:val="left"/>
      <w:pPr>
        <w:ind w:left="2160" w:hanging="360"/>
      </w:pPr>
      <w:rPr>
        <w:rFonts w:ascii="Wingdings" w:hAnsi="Wingdings" w:hint="default"/>
      </w:rPr>
    </w:lvl>
    <w:lvl w:ilvl="3" w:tplc="3AC29DB0">
      <w:start w:val="1"/>
      <w:numFmt w:val="bullet"/>
      <w:lvlText w:val=""/>
      <w:lvlJc w:val="left"/>
      <w:pPr>
        <w:ind w:left="2880" w:hanging="360"/>
      </w:pPr>
      <w:rPr>
        <w:rFonts w:ascii="Symbol" w:hAnsi="Symbol" w:hint="default"/>
      </w:rPr>
    </w:lvl>
    <w:lvl w:ilvl="4" w:tplc="0FA0DF16">
      <w:start w:val="1"/>
      <w:numFmt w:val="bullet"/>
      <w:lvlText w:val="o"/>
      <w:lvlJc w:val="left"/>
      <w:pPr>
        <w:ind w:left="3600" w:hanging="360"/>
      </w:pPr>
      <w:rPr>
        <w:rFonts w:ascii="Courier New" w:hAnsi="Courier New" w:hint="default"/>
      </w:rPr>
    </w:lvl>
    <w:lvl w:ilvl="5" w:tplc="FDBEEA68">
      <w:start w:val="1"/>
      <w:numFmt w:val="bullet"/>
      <w:lvlText w:val=""/>
      <w:lvlJc w:val="left"/>
      <w:pPr>
        <w:ind w:left="4320" w:hanging="360"/>
      </w:pPr>
      <w:rPr>
        <w:rFonts w:ascii="Wingdings" w:hAnsi="Wingdings" w:hint="default"/>
      </w:rPr>
    </w:lvl>
    <w:lvl w:ilvl="6" w:tplc="47F29FE2">
      <w:start w:val="1"/>
      <w:numFmt w:val="bullet"/>
      <w:lvlText w:val=""/>
      <w:lvlJc w:val="left"/>
      <w:pPr>
        <w:ind w:left="5040" w:hanging="360"/>
      </w:pPr>
      <w:rPr>
        <w:rFonts w:ascii="Symbol" w:hAnsi="Symbol" w:hint="default"/>
      </w:rPr>
    </w:lvl>
    <w:lvl w:ilvl="7" w:tplc="5356A1AE">
      <w:start w:val="1"/>
      <w:numFmt w:val="bullet"/>
      <w:lvlText w:val="o"/>
      <w:lvlJc w:val="left"/>
      <w:pPr>
        <w:ind w:left="5760" w:hanging="360"/>
      </w:pPr>
      <w:rPr>
        <w:rFonts w:ascii="Courier New" w:hAnsi="Courier New" w:hint="default"/>
      </w:rPr>
    </w:lvl>
    <w:lvl w:ilvl="8" w:tplc="23084E26">
      <w:start w:val="1"/>
      <w:numFmt w:val="bullet"/>
      <w:lvlText w:val=""/>
      <w:lvlJc w:val="left"/>
      <w:pPr>
        <w:ind w:left="6480" w:hanging="360"/>
      </w:pPr>
      <w:rPr>
        <w:rFonts w:ascii="Wingdings" w:hAnsi="Wingdings" w:hint="default"/>
      </w:rPr>
    </w:lvl>
  </w:abstractNum>
  <w:abstractNum w:abstractNumId="16" w15:restartNumberingAfterBreak="0">
    <w:nsid w:val="508701F6"/>
    <w:multiLevelType w:val="hybridMultilevel"/>
    <w:tmpl w:val="33C8021A"/>
    <w:lvl w:ilvl="0" w:tplc="0409000F">
      <w:start w:val="1"/>
      <w:numFmt w:val="decimal"/>
      <w:lvlText w:val="%1."/>
      <w:lvlJc w:val="left"/>
      <w:pPr>
        <w:tabs>
          <w:tab w:val="num" w:pos="840"/>
        </w:tabs>
        <w:ind w:left="840" w:hanging="360"/>
      </w:pPr>
    </w:lvl>
    <w:lvl w:ilvl="1" w:tplc="04090005">
      <w:start w:val="1"/>
      <w:numFmt w:val="bullet"/>
      <w:lvlText w:val=""/>
      <w:lvlJc w:val="left"/>
      <w:pPr>
        <w:tabs>
          <w:tab w:val="num" w:pos="1560"/>
        </w:tabs>
        <w:ind w:left="1560" w:hanging="360"/>
      </w:pPr>
      <w:rPr>
        <w:rFonts w:ascii="Wingdings" w:hAnsi="Wingding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2A544D0"/>
    <w:multiLevelType w:val="hybridMultilevel"/>
    <w:tmpl w:val="FFFFFFFF"/>
    <w:lvl w:ilvl="0" w:tplc="72A0D2A0">
      <w:start w:val="1"/>
      <w:numFmt w:val="decimal"/>
      <w:lvlText w:val="%1."/>
      <w:lvlJc w:val="left"/>
      <w:pPr>
        <w:ind w:left="720" w:hanging="360"/>
      </w:pPr>
    </w:lvl>
    <w:lvl w:ilvl="1" w:tplc="DB12C25C">
      <w:start w:val="1"/>
      <w:numFmt w:val="lowerLetter"/>
      <w:lvlText w:val="%2."/>
      <w:lvlJc w:val="left"/>
      <w:pPr>
        <w:ind w:left="1440" w:hanging="360"/>
      </w:pPr>
    </w:lvl>
    <w:lvl w:ilvl="2" w:tplc="F5B84888">
      <w:start w:val="1"/>
      <w:numFmt w:val="lowerRoman"/>
      <w:lvlText w:val="%3."/>
      <w:lvlJc w:val="right"/>
      <w:pPr>
        <w:ind w:left="2160" w:hanging="180"/>
      </w:pPr>
    </w:lvl>
    <w:lvl w:ilvl="3" w:tplc="DBB65BDE">
      <w:start w:val="1"/>
      <w:numFmt w:val="decimal"/>
      <w:lvlText w:val="%4."/>
      <w:lvlJc w:val="left"/>
      <w:pPr>
        <w:ind w:left="2880" w:hanging="360"/>
      </w:pPr>
    </w:lvl>
    <w:lvl w:ilvl="4" w:tplc="ACB08548">
      <w:start w:val="1"/>
      <w:numFmt w:val="lowerLetter"/>
      <w:lvlText w:val="%5."/>
      <w:lvlJc w:val="left"/>
      <w:pPr>
        <w:ind w:left="3600" w:hanging="360"/>
      </w:pPr>
    </w:lvl>
    <w:lvl w:ilvl="5" w:tplc="80C47622">
      <w:start w:val="1"/>
      <w:numFmt w:val="lowerRoman"/>
      <w:lvlText w:val="%6."/>
      <w:lvlJc w:val="right"/>
      <w:pPr>
        <w:ind w:left="4320" w:hanging="180"/>
      </w:pPr>
    </w:lvl>
    <w:lvl w:ilvl="6" w:tplc="5EDCA9C8">
      <w:start w:val="1"/>
      <w:numFmt w:val="decimal"/>
      <w:lvlText w:val="%7."/>
      <w:lvlJc w:val="left"/>
      <w:pPr>
        <w:ind w:left="5040" w:hanging="360"/>
      </w:pPr>
    </w:lvl>
    <w:lvl w:ilvl="7" w:tplc="F864BB76">
      <w:start w:val="1"/>
      <w:numFmt w:val="lowerLetter"/>
      <w:lvlText w:val="%8."/>
      <w:lvlJc w:val="left"/>
      <w:pPr>
        <w:ind w:left="5760" w:hanging="360"/>
      </w:pPr>
    </w:lvl>
    <w:lvl w:ilvl="8" w:tplc="22903918">
      <w:start w:val="1"/>
      <w:numFmt w:val="lowerRoman"/>
      <w:lvlText w:val="%9."/>
      <w:lvlJc w:val="right"/>
      <w:pPr>
        <w:ind w:left="6480" w:hanging="180"/>
      </w:pPr>
    </w:lvl>
  </w:abstractNum>
  <w:abstractNum w:abstractNumId="18" w15:restartNumberingAfterBreak="0">
    <w:nsid w:val="61D74B05"/>
    <w:multiLevelType w:val="hybridMultilevel"/>
    <w:tmpl w:val="258234A6"/>
    <w:lvl w:ilvl="0" w:tplc="BC6AC10E">
      <w:start w:val="1"/>
      <w:numFmt w:val="bullet"/>
      <w:pStyle w:val="Bullet1"/>
      <w:lvlText w:val=""/>
      <w:lvlJc w:val="left"/>
      <w:pPr>
        <w:tabs>
          <w:tab w:val="num" w:pos="760"/>
        </w:tabs>
        <w:ind w:left="760" w:hanging="360"/>
      </w:pPr>
      <w:rPr>
        <w:rFonts w:ascii="Symbol" w:hAnsi="Symbol" w:hint="default"/>
        <w:color w:val="auto"/>
        <w:sz w:val="16"/>
      </w:rPr>
    </w:lvl>
    <w:lvl w:ilvl="1" w:tplc="04090003">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9" w15:restartNumberingAfterBreak="0">
    <w:nsid w:val="65175F79"/>
    <w:multiLevelType w:val="hybridMultilevel"/>
    <w:tmpl w:val="CEB6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A083E"/>
    <w:multiLevelType w:val="hybridMultilevel"/>
    <w:tmpl w:val="AA2E27C2"/>
    <w:lvl w:ilvl="0" w:tplc="91E21A58">
      <w:start w:val="2"/>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0A426AD"/>
    <w:multiLevelType w:val="hybridMultilevel"/>
    <w:tmpl w:val="970C1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5B76B2"/>
    <w:multiLevelType w:val="hybridMultilevel"/>
    <w:tmpl w:val="32F8D68C"/>
    <w:lvl w:ilvl="0" w:tplc="56ECEE5E">
      <w:start w:val="1"/>
      <w:numFmt w:val="bullet"/>
      <w:pStyle w:val="Bullet2"/>
      <w:lvlText w:val=""/>
      <w:lvlJc w:val="left"/>
      <w:pPr>
        <w:tabs>
          <w:tab w:val="num" w:pos="1440"/>
        </w:tabs>
        <w:ind w:left="1440" w:hanging="360"/>
      </w:pPr>
      <w:rPr>
        <w:rFonts w:ascii="Wingdings" w:hAnsi="Wingdings" w:hint="default"/>
        <w:sz w:val="24"/>
      </w:rPr>
    </w:lvl>
    <w:lvl w:ilvl="1" w:tplc="1D1CFB9C">
      <w:start w:val="1"/>
      <w:numFmt w:val="bullet"/>
      <w:pStyle w:val="Bullet2"/>
      <w:lvlText w:val=""/>
      <w:lvlJc w:val="left"/>
      <w:pPr>
        <w:tabs>
          <w:tab w:val="num" w:pos="1440"/>
        </w:tabs>
        <w:ind w:left="1440" w:hanging="360"/>
      </w:pPr>
      <w:rPr>
        <w:rFonts w:ascii="Zapf Dingbats" w:hAnsi="Zapf Dingba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9142C"/>
    <w:multiLevelType w:val="hybridMultilevel"/>
    <w:tmpl w:val="4672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D3A0C"/>
    <w:multiLevelType w:val="hybridMultilevel"/>
    <w:tmpl w:val="FFFFFFFF"/>
    <w:lvl w:ilvl="0" w:tplc="D79875CE">
      <w:start w:val="1"/>
      <w:numFmt w:val="bullet"/>
      <w:lvlText w:val=""/>
      <w:lvlJc w:val="left"/>
      <w:pPr>
        <w:ind w:left="720" w:hanging="360"/>
      </w:pPr>
      <w:rPr>
        <w:rFonts w:ascii="Symbol" w:hAnsi="Symbol" w:hint="default"/>
      </w:rPr>
    </w:lvl>
    <w:lvl w:ilvl="1" w:tplc="E162F1C4">
      <w:start w:val="1"/>
      <w:numFmt w:val="bullet"/>
      <w:lvlText w:val="o"/>
      <w:lvlJc w:val="left"/>
      <w:pPr>
        <w:ind w:left="1440" w:hanging="360"/>
      </w:pPr>
      <w:rPr>
        <w:rFonts w:ascii="Courier New" w:hAnsi="Courier New" w:hint="default"/>
      </w:rPr>
    </w:lvl>
    <w:lvl w:ilvl="2" w:tplc="8D824A80">
      <w:start w:val="1"/>
      <w:numFmt w:val="bullet"/>
      <w:lvlText w:val=""/>
      <w:lvlJc w:val="left"/>
      <w:pPr>
        <w:ind w:left="2160" w:hanging="360"/>
      </w:pPr>
      <w:rPr>
        <w:rFonts w:ascii="Wingdings" w:hAnsi="Wingdings" w:hint="default"/>
      </w:rPr>
    </w:lvl>
    <w:lvl w:ilvl="3" w:tplc="74020D8E">
      <w:start w:val="1"/>
      <w:numFmt w:val="bullet"/>
      <w:lvlText w:val=""/>
      <w:lvlJc w:val="left"/>
      <w:pPr>
        <w:ind w:left="2880" w:hanging="360"/>
      </w:pPr>
      <w:rPr>
        <w:rFonts w:ascii="Symbol" w:hAnsi="Symbol" w:hint="default"/>
      </w:rPr>
    </w:lvl>
    <w:lvl w:ilvl="4" w:tplc="456EF65C">
      <w:start w:val="1"/>
      <w:numFmt w:val="bullet"/>
      <w:lvlText w:val="o"/>
      <w:lvlJc w:val="left"/>
      <w:pPr>
        <w:ind w:left="3600" w:hanging="360"/>
      </w:pPr>
      <w:rPr>
        <w:rFonts w:ascii="Courier New" w:hAnsi="Courier New" w:hint="default"/>
      </w:rPr>
    </w:lvl>
    <w:lvl w:ilvl="5" w:tplc="DA9E6EC2">
      <w:start w:val="1"/>
      <w:numFmt w:val="bullet"/>
      <w:lvlText w:val=""/>
      <w:lvlJc w:val="left"/>
      <w:pPr>
        <w:ind w:left="4320" w:hanging="360"/>
      </w:pPr>
      <w:rPr>
        <w:rFonts w:ascii="Wingdings" w:hAnsi="Wingdings" w:hint="default"/>
      </w:rPr>
    </w:lvl>
    <w:lvl w:ilvl="6" w:tplc="7F3ED668">
      <w:start w:val="1"/>
      <w:numFmt w:val="bullet"/>
      <w:lvlText w:val=""/>
      <w:lvlJc w:val="left"/>
      <w:pPr>
        <w:ind w:left="5040" w:hanging="360"/>
      </w:pPr>
      <w:rPr>
        <w:rFonts w:ascii="Symbol" w:hAnsi="Symbol" w:hint="default"/>
      </w:rPr>
    </w:lvl>
    <w:lvl w:ilvl="7" w:tplc="CF7A0DB0">
      <w:start w:val="1"/>
      <w:numFmt w:val="bullet"/>
      <w:lvlText w:val="o"/>
      <w:lvlJc w:val="left"/>
      <w:pPr>
        <w:ind w:left="5760" w:hanging="360"/>
      </w:pPr>
      <w:rPr>
        <w:rFonts w:ascii="Courier New" w:hAnsi="Courier New" w:hint="default"/>
      </w:rPr>
    </w:lvl>
    <w:lvl w:ilvl="8" w:tplc="7EB20B6E">
      <w:start w:val="1"/>
      <w:numFmt w:val="bullet"/>
      <w:lvlText w:val=""/>
      <w:lvlJc w:val="left"/>
      <w:pPr>
        <w:ind w:left="6480" w:hanging="360"/>
      </w:pPr>
      <w:rPr>
        <w:rFonts w:ascii="Wingdings" w:hAnsi="Wingdings" w:hint="default"/>
      </w:rPr>
    </w:lvl>
  </w:abstractNum>
  <w:abstractNum w:abstractNumId="25" w15:restartNumberingAfterBreak="0">
    <w:nsid w:val="7EAA0E4B"/>
    <w:multiLevelType w:val="hybridMultilevel"/>
    <w:tmpl w:val="E8BE508A"/>
    <w:lvl w:ilvl="0" w:tplc="36D4DA38">
      <w:start w:val="1"/>
      <w:numFmt w:val="bullet"/>
      <w:pStyle w:val="BulletedMultilinespbeforeafter"/>
      <w:lvlText w:val=""/>
      <w:lvlJc w:val="left"/>
      <w:pPr>
        <w:tabs>
          <w:tab w:val="num" w:pos="1080"/>
        </w:tabs>
        <w:ind w:left="720" w:firstLine="0"/>
      </w:pPr>
      <w:rPr>
        <w:rFonts w:ascii="Webdings" w:hAnsi="Webdings" w:hint="default"/>
        <w:sz w:val="16"/>
      </w:rPr>
    </w:lvl>
    <w:lvl w:ilvl="1" w:tplc="E21ABB00">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3465445">
    <w:abstractNumId w:val="5"/>
  </w:num>
  <w:num w:numId="2" w16cid:durableId="529534293">
    <w:abstractNumId w:val="4"/>
  </w:num>
  <w:num w:numId="3" w16cid:durableId="1788161413">
    <w:abstractNumId w:val="15"/>
  </w:num>
  <w:num w:numId="4" w16cid:durableId="1223565055">
    <w:abstractNumId w:val="17"/>
  </w:num>
  <w:num w:numId="5" w16cid:durableId="120659565">
    <w:abstractNumId w:val="24"/>
  </w:num>
  <w:num w:numId="6" w16cid:durableId="1281181089">
    <w:abstractNumId w:val="11"/>
  </w:num>
  <w:num w:numId="7" w16cid:durableId="1310591412">
    <w:abstractNumId w:val="6"/>
  </w:num>
  <w:num w:numId="8" w16cid:durableId="126898828">
    <w:abstractNumId w:val="25"/>
  </w:num>
  <w:num w:numId="9" w16cid:durableId="204409909">
    <w:abstractNumId w:val="8"/>
  </w:num>
  <w:num w:numId="10" w16cid:durableId="249658341">
    <w:abstractNumId w:val="18"/>
  </w:num>
  <w:num w:numId="11" w16cid:durableId="1731491602">
    <w:abstractNumId w:val="22"/>
  </w:num>
  <w:num w:numId="12" w16cid:durableId="116680744">
    <w:abstractNumId w:val="21"/>
  </w:num>
  <w:num w:numId="13" w16cid:durableId="2036534127">
    <w:abstractNumId w:val="16"/>
  </w:num>
  <w:num w:numId="14" w16cid:durableId="128742835">
    <w:abstractNumId w:val="0"/>
  </w:num>
  <w:num w:numId="15" w16cid:durableId="890962463">
    <w:abstractNumId w:val="7"/>
  </w:num>
  <w:num w:numId="16" w16cid:durableId="2096630248">
    <w:abstractNumId w:val="20"/>
  </w:num>
  <w:num w:numId="17" w16cid:durableId="1992444702">
    <w:abstractNumId w:val="19"/>
  </w:num>
  <w:num w:numId="18" w16cid:durableId="1051273898">
    <w:abstractNumId w:val="2"/>
  </w:num>
  <w:num w:numId="19" w16cid:durableId="1635670873">
    <w:abstractNumId w:val="13"/>
  </w:num>
  <w:num w:numId="20" w16cid:durableId="804546933">
    <w:abstractNumId w:val="10"/>
  </w:num>
  <w:num w:numId="21" w16cid:durableId="276714754">
    <w:abstractNumId w:val="3"/>
  </w:num>
  <w:num w:numId="22" w16cid:durableId="734662001">
    <w:abstractNumId w:val="9"/>
  </w:num>
  <w:num w:numId="23" w16cid:durableId="1196239426">
    <w:abstractNumId w:val="12"/>
  </w:num>
  <w:num w:numId="24" w16cid:durableId="2024280406">
    <w:abstractNumId w:val="1"/>
  </w:num>
  <w:num w:numId="25" w16cid:durableId="1156216799">
    <w:abstractNumId w:val="14"/>
  </w:num>
  <w:num w:numId="26" w16cid:durableId="13620459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GrammaticalErrors/>
  <w:activeWritingStyle w:appName="MSWord" w:lang="en-US" w:vendorID="64" w:dllVersion="0" w:nlCheck="1" w:checkStyle="0"/>
  <w:activeWritingStyle w:appName="MSWord" w:lang="en-US" w:vendorID="64" w:dllVersion="4096" w:nlCheck="1" w:checkStyle="0"/>
  <w:proofState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32"/>
    <w:rsid w:val="00000062"/>
    <w:rsid w:val="000000FC"/>
    <w:rsid w:val="000031C4"/>
    <w:rsid w:val="0000326F"/>
    <w:rsid w:val="00007A83"/>
    <w:rsid w:val="00010335"/>
    <w:rsid w:val="000116D7"/>
    <w:rsid w:val="00012A21"/>
    <w:rsid w:val="00012A59"/>
    <w:rsid w:val="00013A01"/>
    <w:rsid w:val="00013FAB"/>
    <w:rsid w:val="0001455B"/>
    <w:rsid w:val="000165DA"/>
    <w:rsid w:val="00020196"/>
    <w:rsid w:val="0002187D"/>
    <w:rsid w:val="00022DA2"/>
    <w:rsid w:val="00024A39"/>
    <w:rsid w:val="00024DD7"/>
    <w:rsid w:val="00025122"/>
    <w:rsid w:val="000262ED"/>
    <w:rsid w:val="00031EB1"/>
    <w:rsid w:val="0003277D"/>
    <w:rsid w:val="000405D7"/>
    <w:rsid w:val="00040F2E"/>
    <w:rsid w:val="000414AD"/>
    <w:rsid w:val="000425C0"/>
    <w:rsid w:val="0004383C"/>
    <w:rsid w:val="0004469B"/>
    <w:rsid w:val="000446EA"/>
    <w:rsid w:val="000453F2"/>
    <w:rsid w:val="00045B31"/>
    <w:rsid w:val="00045DBB"/>
    <w:rsid w:val="000474D4"/>
    <w:rsid w:val="000515E9"/>
    <w:rsid w:val="00053E48"/>
    <w:rsid w:val="00055884"/>
    <w:rsid w:val="000563FC"/>
    <w:rsid w:val="00056B99"/>
    <w:rsid w:val="00061054"/>
    <w:rsid w:val="00061123"/>
    <w:rsid w:val="00061ED6"/>
    <w:rsid w:val="000625AA"/>
    <w:rsid w:val="00062CB7"/>
    <w:rsid w:val="00063BF7"/>
    <w:rsid w:val="00074149"/>
    <w:rsid w:val="00075627"/>
    <w:rsid w:val="000758B5"/>
    <w:rsid w:val="00076355"/>
    <w:rsid w:val="000771CA"/>
    <w:rsid w:val="000771D5"/>
    <w:rsid w:val="00080311"/>
    <w:rsid w:val="000829BF"/>
    <w:rsid w:val="00084406"/>
    <w:rsid w:val="000853D6"/>
    <w:rsid w:val="00087A91"/>
    <w:rsid w:val="00087DF8"/>
    <w:rsid w:val="00091544"/>
    <w:rsid w:val="00094225"/>
    <w:rsid w:val="00094896"/>
    <w:rsid w:val="00094B2D"/>
    <w:rsid w:val="0009519E"/>
    <w:rsid w:val="00096316"/>
    <w:rsid w:val="000A1515"/>
    <w:rsid w:val="000A1A00"/>
    <w:rsid w:val="000A23AB"/>
    <w:rsid w:val="000A2741"/>
    <w:rsid w:val="000A323D"/>
    <w:rsid w:val="000A7709"/>
    <w:rsid w:val="000B1FFF"/>
    <w:rsid w:val="000B2030"/>
    <w:rsid w:val="000B44E8"/>
    <w:rsid w:val="000B5B0D"/>
    <w:rsid w:val="000B6F7E"/>
    <w:rsid w:val="000C10BF"/>
    <w:rsid w:val="000C2393"/>
    <w:rsid w:val="000C5593"/>
    <w:rsid w:val="000C5AA9"/>
    <w:rsid w:val="000C6A8E"/>
    <w:rsid w:val="000C7033"/>
    <w:rsid w:val="000D08DC"/>
    <w:rsid w:val="000D5D1D"/>
    <w:rsid w:val="000D6902"/>
    <w:rsid w:val="000E07F7"/>
    <w:rsid w:val="000E2495"/>
    <w:rsid w:val="000E3FAA"/>
    <w:rsid w:val="000E6D7B"/>
    <w:rsid w:val="000F157C"/>
    <w:rsid w:val="000F2171"/>
    <w:rsid w:val="000F2B1F"/>
    <w:rsid w:val="000F33AC"/>
    <w:rsid w:val="000F4C01"/>
    <w:rsid w:val="000F4D04"/>
    <w:rsid w:val="00102630"/>
    <w:rsid w:val="00102A57"/>
    <w:rsid w:val="00102F93"/>
    <w:rsid w:val="001032C9"/>
    <w:rsid w:val="001034E8"/>
    <w:rsid w:val="00104C81"/>
    <w:rsid w:val="00105A7D"/>
    <w:rsid w:val="00111282"/>
    <w:rsid w:val="0011173D"/>
    <w:rsid w:val="00111C6D"/>
    <w:rsid w:val="001137D4"/>
    <w:rsid w:val="001140E0"/>
    <w:rsid w:val="00115E2D"/>
    <w:rsid w:val="00116203"/>
    <w:rsid w:val="001168BE"/>
    <w:rsid w:val="00117155"/>
    <w:rsid w:val="0012199A"/>
    <w:rsid w:val="00122615"/>
    <w:rsid w:val="00123332"/>
    <w:rsid w:val="0012501C"/>
    <w:rsid w:val="00127D9F"/>
    <w:rsid w:val="001353E5"/>
    <w:rsid w:val="001414AE"/>
    <w:rsid w:val="00141E65"/>
    <w:rsid w:val="00144B30"/>
    <w:rsid w:val="00145E52"/>
    <w:rsid w:val="00147EC4"/>
    <w:rsid w:val="001509C2"/>
    <w:rsid w:val="001521A6"/>
    <w:rsid w:val="00152EF5"/>
    <w:rsid w:val="001533E5"/>
    <w:rsid w:val="00153BDC"/>
    <w:rsid w:val="00154002"/>
    <w:rsid w:val="00155A69"/>
    <w:rsid w:val="001567BB"/>
    <w:rsid w:val="00156BE8"/>
    <w:rsid w:val="001576F9"/>
    <w:rsid w:val="00162171"/>
    <w:rsid w:val="001624DA"/>
    <w:rsid w:val="00162A47"/>
    <w:rsid w:val="0016309C"/>
    <w:rsid w:val="00163428"/>
    <w:rsid w:val="00164C62"/>
    <w:rsid w:val="001660A1"/>
    <w:rsid w:val="001661C2"/>
    <w:rsid w:val="00166476"/>
    <w:rsid w:val="00171D4E"/>
    <w:rsid w:val="0018097B"/>
    <w:rsid w:val="00180FB4"/>
    <w:rsid w:val="0018197E"/>
    <w:rsid w:val="00181C02"/>
    <w:rsid w:val="00183C6F"/>
    <w:rsid w:val="00184EBD"/>
    <w:rsid w:val="001869EF"/>
    <w:rsid w:val="0019337D"/>
    <w:rsid w:val="001938AA"/>
    <w:rsid w:val="00193BE8"/>
    <w:rsid w:val="00194487"/>
    <w:rsid w:val="00197C84"/>
    <w:rsid w:val="001A7674"/>
    <w:rsid w:val="001B1368"/>
    <w:rsid w:val="001B1792"/>
    <w:rsid w:val="001B220E"/>
    <w:rsid w:val="001B2275"/>
    <w:rsid w:val="001B23F4"/>
    <w:rsid w:val="001B2631"/>
    <w:rsid w:val="001B5CB8"/>
    <w:rsid w:val="001B67C9"/>
    <w:rsid w:val="001B6B7F"/>
    <w:rsid w:val="001B78FD"/>
    <w:rsid w:val="001C103E"/>
    <w:rsid w:val="001C2794"/>
    <w:rsid w:val="001C2FDB"/>
    <w:rsid w:val="001C7FD3"/>
    <w:rsid w:val="001D1942"/>
    <w:rsid w:val="001D3FA7"/>
    <w:rsid w:val="001D5D8E"/>
    <w:rsid w:val="001E1355"/>
    <w:rsid w:val="001E1672"/>
    <w:rsid w:val="001E201D"/>
    <w:rsid w:val="001E47AF"/>
    <w:rsid w:val="001E6D47"/>
    <w:rsid w:val="001F06FD"/>
    <w:rsid w:val="001F0F1F"/>
    <w:rsid w:val="001F24CF"/>
    <w:rsid w:val="001F347D"/>
    <w:rsid w:val="001F376C"/>
    <w:rsid w:val="001F5035"/>
    <w:rsid w:val="001F52CD"/>
    <w:rsid w:val="002000FE"/>
    <w:rsid w:val="00201308"/>
    <w:rsid w:val="002046BF"/>
    <w:rsid w:val="0020527D"/>
    <w:rsid w:val="00205898"/>
    <w:rsid w:val="00206AF6"/>
    <w:rsid w:val="00206B6F"/>
    <w:rsid w:val="002135E1"/>
    <w:rsid w:val="00215077"/>
    <w:rsid w:val="00215829"/>
    <w:rsid w:val="00215E48"/>
    <w:rsid w:val="00216122"/>
    <w:rsid w:val="002216CA"/>
    <w:rsid w:val="00223DE4"/>
    <w:rsid w:val="00223FB8"/>
    <w:rsid w:val="00224210"/>
    <w:rsid w:val="002248A9"/>
    <w:rsid w:val="00226565"/>
    <w:rsid w:val="002265ED"/>
    <w:rsid w:val="00227EC1"/>
    <w:rsid w:val="0023204D"/>
    <w:rsid w:val="00233007"/>
    <w:rsid w:val="00241AED"/>
    <w:rsid w:val="00241D79"/>
    <w:rsid w:val="00241DC0"/>
    <w:rsid w:val="00242DB1"/>
    <w:rsid w:val="00243BC0"/>
    <w:rsid w:val="00243EB5"/>
    <w:rsid w:val="002465A6"/>
    <w:rsid w:val="0025173E"/>
    <w:rsid w:val="0025197E"/>
    <w:rsid w:val="00252717"/>
    <w:rsid w:val="00252766"/>
    <w:rsid w:val="00254067"/>
    <w:rsid w:val="00254BBB"/>
    <w:rsid w:val="002568AD"/>
    <w:rsid w:val="00260868"/>
    <w:rsid w:val="00261657"/>
    <w:rsid w:val="0026384E"/>
    <w:rsid w:val="00263EE1"/>
    <w:rsid w:val="00265D69"/>
    <w:rsid w:val="00267FDD"/>
    <w:rsid w:val="00270325"/>
    <w:rsid w:val="00270FC3"/>
    <w:rsid w:val="00271028"/>
    <w:rsid w:val="002715DD"/>
    <w:rsid w:val="002726AE"/>
    <w:rsid w:val="0027430E"/>
    <w:rsid w:val="00276751"/>
    <w:rsid w:val="00277D7B"/>
    <w:rsid w:val="0028159F"/>
    <w:rsid w:val="0028310C"/>
    <w:rsid w:val="00283B23"/>
    <w:rsid w:val="00292684"/>
    <w:rsid w:val="00294F4E"/>
    <w:rsid w:val="0029647D"/>
    <w:rsid w:val="0029799B"/>
    <w:rsid w:val="002A0B8D"/>
    <w:rsid w:val="002A1BB0"/>
    <w:rsid w:val="002A56F1"/>
    <w:rsid w:val="002A7148"/>
    <w:rsid w:val="002B2636"/>
    <w:rsid w:val="002B546A"/>
    <w:rsid w:val="002B6DAF"/>
    <w:rsid w:val="002B7D4B"/>
    <w:rsid w:val="002C06DC"/>
    <w:rsid w:val="002C235D"/>
    <w:rsid w:val="002C2C7E"/>
    <w:rsid w:val="002C34CF"/>
    <w:rsid w:val="002C37BE"/>
    <w:rsid w:val="002C635B"/>
    <w:rsid w:val="002C6891"/>
    <w:rsid w:val="002C7BAF"/>
    <w:rsid w:val="002D00E5"/>
    <w:rsid w:val="002D0A15"/>
    <w:rsid w:val="002D1D5C"/>
    <w:rsid w:val="002D265E"/>
    <w:rsid w:val="002D5521"/>
    <w:rsid w:val="002D5B91"/>
    <w:rsid w:val="002D5E3F"/>
    <w:rsid w:val="002D67D3"/>
    <w:rsid w:val="002E10E7"/>
    <w:rsid w:val="002E31A6"/>
    <w:rsid w:val="002E3EE1"/>
    <w:rsid w:val="002E54B0"/>
    <w:rsid w:val="002E6BC6"/>
    <w:rsid w:val="002F274E"/>
    <w:rsid w:val="0030161D"/>
    <w:rsid w:val="00301AEB"/>
    <w:rsid w:val="00303425"/>
    <w:rsid w:val="0030543E"/>
    <w:rsid w:val="0030600B"/>
    <w:rsid w:val="00306D7E"/>
    <w:rsid w:val="0030714C"/>
    <w:rsid w:val="0031165F"/>
    <w:rsid w:val="0031241F"/>
    <w:rsid w:val="00312AC9"/>
    <w:rsid w:val="00313C85"/>
    <w:rsid w:val="00315859"/>
    <w:rsid w:val="00317630"/>
    <w:rsid w:val="003208F7"/>
    <w:rsid w:val="003209E8"/>
    <w:rsid w:val="003210C4"/>
    <w:rsid w:val="00323437"/>
    <w:rsid w:val="00323EFA"/>
    <w:rsid w:val="00325342"/>
    <w:rsid w:val="00326A2E"/>
    <w:rsid w:val="00330C5E"/>
    <w:rsid w:val="00331D91"/>
    <w:rsid w:val="0033278B"/>
    <w:rsid w:val="0033470E"/>
    <w:rsid w:val="00335233"/>
    <w:rsid w:val="00335502"/>
    <w:rsid w:val="0033794B"/>
    <w:rsid w:val="00337F79"/>
    <w:rsid w:val="003434DB"/>
    <w:rsid w:val="00344981"/>
    <w:rsid w:val="003457FE"/>
    <w:rsid w:val="0034761C"/>
    <w:rsid w:val="00347DB7"/>
    <w:rsid w:val="003504B7"/>
    <w:rsid w:val="003512D9"/>
    <w:rsid w:val="00351F9B"/>
    <w:rsid w:val="00353E79"/>
    <w:rsid w:val="00354A8C"/>
    <w:rsid w:val="0035597E"/>
    <w:rsid w:val="00360A83"/>
    <w:rsid w:val="00360EC6"/>
    <w:rsid w:val="00361625"/>
    <w:rsid w:val="00362A15"/>
    <w:rsid w:val="00363979"/>
    <w:rsid w:val="0036427C"/>
    <w:rsid w:val="00366E74"/>
    <w:rsid w:val="00371BDF"/>
    <w:rsid w:val="00373DB8"/>
    <w:rsid w:val="00376A21"/>
    <w:rsid w:val="00377377"/>
    <w:rsid w:val="0038097A"/>
    <w:rsid w:val="003812EA"/>
    <w:rsid w:val="003828D4"/>
    <w:rsid w:val="00383B1B"/>
    <w:rsid w:val="0038569A"/>
    <w:rsid w:val="003879CB"/>
    <w:rsid w:val="00390C52"/>
    <w:rsid w:val="0039133D"/>
    <w:rsid w:val="00392B22"/>
    <w:rsid w:val="00393B0F"/>
    <w:rsid w:val="00395558"/>
    <w:rsid w:val="00396B6C"/>
    <w:rsid w:val="0039729C"/>
    <w:rsid w:val="00397430"/>
    <w:rsid w:val="003A2F54"/>
    <w:rsid w:val="003A40E7"/>
    <w:rsid w:val="003A5263"/>
    <w:rsid w:val="003A69E5"/>
    <w:rsid w:val="003B0513"/>
    <w:rsid w:val="003B0C1C"/>
    <w:rsid w:val="003B740F"/>
    <w:rsid w:val="003C049B"/>
    <w:rsid w:val="003C0DDC"/>
    <w:rsid w:val="003C13F2"/>
    <w:rsid w:val="003C2A66"/>
    <w:rsid w:val="003C2D72"/>
    <w:rsid w:val="003C46BC"/>
    <w:rsid w:val="003C4AA5"/>
    <w:rsid w:val="003C5074"/>
    <w:rsid w:val="003C7E2E"/>
    <w:rsid w:val="003D3808"/>
    <w:rsid w:val="003D3F2D"/>
    <w:rsid w:val="003D438E"/>
    <w:rsid w:val="003D5983"/>
    <w:rsid w:val="003E08FB"/>
    <w:rsid w:val="003E128A"/>
    <w:rsid w:val="003E3645"/>
    <w:rsid w:val="003E39C7"/>
    <w:rsid w:val="003E3D49"/>
    <w:rsid w:val="003E4173"/>
    <w:rsid w:val="003E4672"/>
    <w:rsid w:val="003E4CB0"/>
    <w:rsid w:val="003E6386"/>
    <w:rsid w:val="003E665F"/>
    <w:rsid w:val="003E7CC8"/>
    <w:rsid w:val="003F0758"/>
    <w:rsid w:val="003F1400"/>
    <w:rsid w:val="003F14C1"/>
    <w:rsid w:val="003F5375"/>
    <w:rsid w:val="00400CEB"/>
    <w:rsid w:val="00404A16"/>
    <w:rsid w:val="00407E3E"/>
    <w:rsid w:val="0040AF57"/>
    <w:rsid w:val="004106D8"/>
    <w:rsid w:val="00416023"/>
    <w:rsid w:val="004161C5"/>
    <w:rsid w:val="00421D08"/>
    <w:rsid w:val="0042214E"/>
    <w:rsid w:val="00423780"/>
    <w:rsid w:val="00426A94"/>
    <w:rsid w:val="00427DAC"/>
    <w:rsid w:val="004328AC"/>
    <w:rsid w:val="00434C00"/>
    <w:rsid w:val="00440C55"/>
    <w:rsid w:val="00441C2D"/>
    <w:rsid w:val="00441C84"/>
    <w:rsid w:val="00443F16"/>
    <w:rsid w:val="004463B5"/>
    <w:rsid w:val="00446832"/>
    <w:rsid w:val="00452535"/>
    <w:rsid w:val="00453F91"/>
    <w:rsid w:val="004554FE"/>
    <w:rsid w:val="00455D1D"/>
    <w:rsid w:val="00457CC4"/>
    <w:rsid w:val="00460351"/>
    <w:rsid w:val="0046243D"/>
    <w:rsid w:val="0046320A"/>
    <w:rsid w:val="00463E62"/>
    <w:rsid w:val="004727B6"/>
    <w:rsid w:val="0047375D"/>
    <w:rsid w:val="00473C17"/>
    <w:rsid w:val="004743EF"/>
    <w:rsid w:val="00481C8F"/>
    <w:rsid w:val="00483347"/>
    <w:rsid w:val="00483A1D"/>
    <w:rsid w:val="00483E97"/>
    <w:rsid w:val="00485A98"/>
    <w:rsid w:val="00490D4A"/>
    <w:rsid w:val="0049218D"/>
    <w:rsid w:val="004936AD"/>
    <w:rsid w:val="00494B8C"/>
    <w:rsid w:val="004959DB"/>
    <w:rsid w:val="004A22F4"/>
    <w:rsid w:val="004A3248"/>
    <w:rsid w:val="004A568E"/>
    <w:rsid w:val="004A5DEE"/>
    <w:rsid w:val="004A62D8"/>
    <w:rsid w:val="004B17BB"/>
    <w:rsid w:val="004B254F"/>
    <w:rsid w:val="004B3B4A"/>
    <w:rsid w:val="004B5B29"/>
    <w:rsid w:val="004B6E2D"/>
    <w:rsid w:val="004C0D13"/>
    <w:rsid w:val="004C160F"/>
    <w:rsid w:val="004C2034"/>
    <w:rsid w:val="004C3B84"/>
    <w:rsid w:val="004C52B6"/>
    <w:rsid w:val="004C62E9"/>
    <w:rsid w:val="004C6AA1"/>
    <w:rsid w:val="004C79A3"/>
    <w:rsid w:val="004D27D1"/>
    <w:rsid w:val="004D2F70"/>
    <w:rsid w:val="004D36CE"/>
    <w:rsid w:val="004D408C"/>
    <w:rsid w:val="004D4BFD"/>
    <w:rsid w:val="004D5EFB"/>
    <w:rsid w:val="004E17CE"/>
    <w:rsid w:val="004E2E3E"/>
    <w:rsid w:val="004E4882"/>
    <w:rsid w:val="004E5C4E"/>
    <w:rsid w:val="004E7BB5"/>
    <w:rsid w:val="004E7EFD"/>
    <w:rsid w:val="004F2B40"/>
    <w:rsid w:val="004F55E3"/>
    <w:rsid w:val="004F60A7"/>
    <w:rsid w:val="00500032"/>
    <w:rsid w:val="005037AD"/>
    <w:rsid w:val="00504A80"/>
    <w:rsid w:val="00506107"/>
    <w:rsid w:val="005064F1"/>
    <w:rsid w:val="005077F6"/>
    <w:rsid w:val="0051251E"/>
    <w:rsid w:val="005139F4"/>
    <w:rsid w:val="00515D2D"/>
    <w:rsid w:val="00515F05"/>
    <w:rsid w:val="00516CD4"/>
    <w:rsid w:val="0051719E"/>
    <w:rsid w:val="005171AF"/>
    <w:rsid w:val="005171C1"/>
    <w:rsid w:val="005217EA"/>
    <w:rsid w:val="00521DBA"/>
    <w:rsid w:val="00521E33"/>
    <w:rsid w:val="005229C7"/>
    <w:rsid w:val="005232BA"/>
    <w:rsid w:val="00523C0E"/>
    <w:rsid w:val="0052447D"/>
    <w:rsid w:val="0052557D"/>
    <w:rsid w:val="00530287"/>
    <w:rsid w:val="0053080F"/>
    <w:rsid w:val="005309FD"/>
    <w:rsid w:val="00533386"/>
    <w:rsid w:val="0053700D"/>
    <w:rsid w:val="00537F2E"/>
    <w:rsid w:val="00542C25"/>
    <w:rsid w:val="005451DB"/>
    <w:rsid w:val="00546468"/>
    <w:rsid w:val="005464FC"/>
    <w:rsid w:val="00546B9B"/>
    <w:rsid w:val="00547586"/>
    <w:rsid w:val="00552ADF"/>
    <w:rsid w:val="00557A76"/>
    <w:rsid w:val="005627B0"/>
    <w:rsid w:val="00563D76"/>
    <w:rsid w:val="0057394B"/>
    <w:rsid w:val="00574759"/>
    <w:rsid w:val="0057630D"/>
    <w:rsid w:val="00576A0A"/>
    <w:rsid w:val="00576B74"/>
    <w:rsid w:val="00577CBD"/>
    <w:rsid w:val="0058286B"/>
    <w:rsid w:val="00582AD5"/>
    <w:rsid w:val="00585E06"/>
    <w:rsid w:val="005919AA"/>
    <w:rsid w:val="005921A5"/>
    <w:rsid w:val="00595459"/>
    <w:rsid w:val="0059616C"/>
    <w:rsid w:val="005A0D83"/>
    <w:rsid w:val="005A3C3F"/>
    <w:rsid w:val="005B0037"/>
    <w:rsid w:val="005B042B"/>
    <w:rsid w:val="005B13E6"/>
    <w:rsid w:val="005B1C9D"/>
    <w:rsid w:val="005B2DC8"/>
    <w:rsid w:val="005C01A1"/>
    <w:rsid w:val="005C1E92"/>
    <w:rsid w:val="005C2949"/>
    <w:rsid w:val="005C36F7"/>
    <w:rsid w:val="005C6887"/>
    <w:rsid w:val="005D03FA"/>
    <w:rsid w:val="005D051C"/>
    <w:rsid w:val="005D0EB9"/>
    <w:rsid w:val="005D0EF3"/>
    <w:rsid w:val="005D1201"/>
    <w:rsid w:val="005D2268"/>
    <w:rsid w:val="005D2D11"/>
    <w:rsid w:val="005D41CF"/>
    <w:rsid w:val="005D4B46"/>
    <w:rsid w:val="005D5B59"/>
    <w:rsid w:val="005E05BD"/>
    <w:rsid w:val="005E0AD3"/>
    <w:rsid w:val="005E2617"/>
    <w:rsid w:val="005E5E2F"/>
    <w:rsid w:val="005E67B8"/>
    <w:rsid w:val="005F02CB"/>
    <w:rsid w:val="005F1496"/>
    <w:rsid w:val="005F7DA0"/>
    <w:rsid w:val="006025A0"/>
    <w:rsid w:val="0060437B"/>
    <w:rsid w:val="00605F5A"/>
    <w:rsid w:val="006125B7"/>
    <w:rsid w:val="00613F49"/>
    <w:rsid w:val="006146D6"/>
    <w:rsid w:val="00614AA2"/>
    <w:rsid w:val="0061540E"/>
    <w:rsid w:val="006170EF"/>
    <w:rsid w:val="0061755E"/>
    <w:rsid w:val="00617A7F"/>
    <w:rsid w:val="00621AC4"/>
    <w:rsid w:val="00621FB7"/>
    <w:rsid w:val="006241ED"/>
    <w:rsid w:val="0062454C"/>
    <w:rsid w:val="006252F3"/>
    <w:rsid w:val="00633CC9"/>
    <w:rsid w:val="006357CA"/>
    <w:rsid w:val="00636C69"/>
    <w:rsid w:val="00636CA6"/>
    <w:rsid w:val="006374F9"/>
    <w:rsid w:val="00640396"/>
    <w:rsid w:val="006434B3"/>
    <w:rsid w:val="00645FC9"/>
    <w:rsid w:val="00647AF0"/>
    <w:rsid w:val="00651051"/>
    <w:rsid w:val="00651A4E"/>
    <w:rsid w:val="0065301C"/>
    <w:rsid w:val="00653727"/>
    <w:rsid w:val="00656992"/>
    <w:rsid w:val="006569E9"/>
    <w:rsid w:val="006573E6"/>
    <w:rsid w:val="00660467"/>
    <w:rsid w:val="006618AD"/>
    <w:rsid w:val="00662159"/>
    <w:rsid w:val="00663B46"/>
    <w:rsid w:val="006667C0"/>
    <w:rsid w:val="006733BD"/>
    <w:rsid w:val="00673CA0"/>
    <w:rsid w:val="00677653"/>
    <w:rsid w:val="00677A9C"/>
    <w:rsid w:val="00680065"/>
    <w:rsid w:val="00681805"/>
    <w:rsid w:val="00682991"/>
    <w:rsid w:val="00682A02"/>
    <w:rsid w:val="00682E01"/>
    <w:rsid w:val="00684060"/>
    <w:rsid w:val="006855C9"/>
    <w:rsid w:val="00687C84"/>
    <w:rsid w:val="00691BF8"/>
    <w:rsid w:val="0069248A"/>
    <w:rsid w:val="00696ADA"/>
    <w:rsid w:val="00696ED9"/>
    <w:rsid w:val="006A5837"/>
    <w:rsid w:val="006A5DE0"/>
    <w:rsid w:val="006A62FF"/>
    <w:rsid w:val="006A64E1"/>
    <w:rsid w:val="006A7E18"/>
    <w:rsid w:val="006C127C"/>
    <w:rsid w:val="006C24FC"/>
    <w:rsid w:val="006C274C"/>
    <w:rsid w:val="006C30F0"/>
    <w:rsid w:val="006C67F9"/>
    <w:rsid w:val="006D0319"/>
    <w:rsid w:val="006D0F4B"/>
    <w:rsid w:val="006D2D92"/>
    <w:rsid w:val="006D445C"/>
    <w:rsid w:val="006D4DEA"/>
    <w:rsid w:val="006D5851"/>
    <w:rsid w:val="006D6BBB"/>
    <w:rsid w:val="006E3767"/>
    <w:rsid w:val="006E41F8"/>
    <w:rsid w:val="006E4693"/>
    <w:rsid w:val="006E4F1B"/>
    <w:rsid w:val="006E51EA"/>
    <w:rsid w:val="006E626A"/>
    <w:rsid w:val="006E73A4"/>
    <w:rsid w:val="006E7FBD"/>
    <w:rsid w:val="006F2236"/>
    <w:rsid w:val="006F2F11"/>
    <w:rsid w:val="006F4C37"/>
    <w:rsid w:val="006F5018"/>
    <w:rsid w:val="006F75DD"/>
    <w:rsid w:val="006F7DAE"/>
    <w:rsid w:val="00701520"/>
    <w:rsid w:val="00703A14"/>
    <w:rsid w:val="00703FD0"/>
    <w:rsid w:val="0070402F"/>
    <w:rsid w:val="007041A0"/>
    <w:rsid w:val="00704455"/>
    <w:rsid w:val="00705469"/>
    <w:rsid w:val="0070569C"/>
    <w:rsid w:val="0070662C"/>
    <w:rsid w:val="007113CC"/>
    <w:rsid w:val="0071215A"/>
    <w:rsid w:val="0071226E"/>
    <w:rsid w:val="007131E8"/>
    <w:rsid w:val="0071338C"/>
    <w:rsid w:val="00713FB1"/>
    <w:rsid w:val="00715243"/>
    <w:rsid w:val="0071619E"/>
    <w:rsid w:val="00717DCE"/>
    <w:rsid w:val="0072046A"/>
    <w:rsid w:val="00721522"/>
    <w:rsid w:val="00721908"/>
    <w:rsid w:val="007224D6"/>
    <w:rsid w:val="00722C9B"/>
    <w:rsid w:val="00722EA1"/>
    <w:rsid w:val="007235E9"/>
    <w:rsid w:val="00724222"/>
    <w:rsid w:val="00724A7D"/>
    <w:rsid w:val="0072590A"/>
    <w:rsid w:val="00726DD7"/>
    <w:rsid w:val="007275AD"/>
    <w:rsid w:val="00727693"/>
    <w:rsid w:val="00727C42"/>
    <w:rsid w:val="00734453"/>
    <w:rsid w:val="0073478C"/>
    <w:rsid w:val="00734B13"/>
    <w:rsid w:val="00735614"/>
    <w:rsid w:val="0073619A"/>
    <w:rsid w:val="00740101"/>
    <w:rsid w:val="00744BE5"/>
    <w:rsid w:val="00746FF8"/>
    <w:rsid w:val="00747A94"/>
    <w:rsid w:val="0075004D"/>
    <w:rsid w:val="007502A9"/>
    <w:rsid w:val="007510CF"/>
    <w:rsid w:val="00752038"/>
    <w:rsid w:val="00756DCC"/>
    <w:rsid w:val="00757066"/>
    <w:rsid w:val="00757778"/>
    <w:rsid w:val="00757A79"/>
    <w:rsid w:val="00760425"/>
    <w:rsid w:val="00764FDD"/>
    <w:rsid w:val="007663F6"/>
    <w:rsid w:val="0076644E"/>
    <w:rsid w:val="00770CD7"/>
    <w:rsid w:val="00772BFA"/>
    <w:rsid w:val="007740E1"/>
    <w:rsid w:val="00775390"/>
    <w:rsid w:val="0077729E"/>
    <w:rsid w:val="00780E78"/>
    <w:rsid w:val="00785AC8"/>
    <w:rsid w:val="00786AE2"/>
    <w:rsid w:val="00787987"/>
    <w:rsid w:val="007911C7"/>
    <w:rsid w:val="0079220E"/>
    <w:rsid w:val="00792D2B"/>
    <w:rsid w:val="00793023"/>
    <w:rsid w:val="007958A4"/>
    <w:rsid w:val="00795F90"/>
    <w:rsid w:val="007970F1"/>
    <w:rsid w:val="00797B11"/>
    <w:rsid w:val="007A075C"/>
    <w:rsid w:val="007A155C"/>
    <w:rsid w:val="007A3F7E"/>
    <w:rsid w:val="007A4F40"/>
    <w:rsid w:val="007A511E"/>
    <w:rsid w:val="007A5573"/>
    <w:rsid w:val="007A7F4A"/>
    <w:rsid w:val="007B07E2"/>
    <w:rsid w:val="007B1352"/>
    <w:rsid w:val="007B1E69"/>
    <w:rsid w:val="007B343D"/>
    <w:rsid w:val="007B3D23"/>
    <w:rsid w:val="007B3D60"/>
    <w:rsid w:val="007B411F"/>
    <w:rsid w:val="007B5522"/>
    <w:rsid w:val="007B56E5"/>
    <w:rsid w:val="007B6117"/>
    <w:rsid w:val="007B65A1"/>
    <w:rsid w:val="007B6E90"/>
    <w:rsid w:val="007C14FD"/>
    <w:rsid w:val="007C2748"/>
    <w:rsid w:val="007C38F2"/>
    <w:rsid w:val="007C3AA0"/>
    <w:rsid w:val="007C4587"/>
    <w:rsid w:val="007C58FF"/>
    <w:rsid w:val="007C6131"/>
    <w:rsid w:val="007D17A7"/>
    <w:rsid w:val="007D1867"/>
    <w:rsid w:val="007D29B3"/>
    <w:rsid w:val="007D3D8A"/>
    <w:rsid w:val="007D65B6"/>
    <w:rsid w:val="007D7AAD"/>
    <w:rsid w:val="007D7BBC"/>
    <w:rsid w:val="007E173F"/>
    <w:rsid w:val="007E443A"/>
    <w:rsid w:val="007E5B72"/>
    <w:rsid w:val="007E71A1"/>
    <w:rsid w:val="007F0252"/>
    <w:rsid w:val="007F0EFF"/>
    <w:rsid w:val="007F12AC"/>
    <w:rsid w:val="007F178E"/>
    <w:rsid w:val="007F3B33"/>
    <w:rsid w:val="007F580F"/>
    <w:rsid w:val="00800FE9"/>
    <w:rsid w:val="00801B9C"/>
    <w:rsid w:val="00803AD1"/>
    <w:rsid w:val="00804EF9"/>
    <w:rsid w:val="00820692"/>
    <w:rsid w:val="00821D89"/>
    <w:rsid w:val="0082412C"/>
    <w:rsid w:val="00825A75"/>
    <w:rsid w:val="00826DE3"/>
    <w:rsid w:val="00827230"/>
    <w:rsid w:val="00827823"/>
    <w:rsid w:val="008325F5"/>
    <w:rsid w:val="008379C8"/>
    <w:rsid w:val="00840342"/>
    <w:rsid w:val="008409E3"/>
    <w:rsid w:val="00840ABB"/>
    <w:rsid w:val="008419F7"/>
    <w:rsid w:val="0084218B"/>
    <w:rsid w:val="00845165"/>
    <w:rsid w:val="00845A7B"/>
    <w:rsid w:val="00845EC2"/>
    <w:rsid w:val="0084618A"/>
    <w:rsid w:val="0084678F"/>
    <w:rsid w:val="00847DD5"/>
    <w:rsid w:val="0085376E"/>
    <w:rsid w:val="00856522"/>
    <w:rsid w:val="0085718D"/>
    <w:rsid w:val="0085719E"/>
    <w:rsid w:val="00861373"/>
    <w:rsid w:val="008614AD"/>
    <w:rsid w:val="00866BD1"/>
    <w:rsid w:val="00867E28"/>
    <w:rsid w:val="00867ED1"/>
    <w:rsid w:val="00871428"/>
    <w:rsid w:val="00872D5C"/>
    <w:rsid w:val="00873B16"/>
    <w:rsid w:val="008740B9"/>
    <w:rsid w:val="008762B3"/>
    <w:rsid w:val="008771A7"/>
    <w:rsid w:val="008803B7"/>
    <w:rsid w:val="0088259F"/>
    <w:rsid w:val="008847B3"/>
    <w:rsid w:val="00885B8D"/>
    <w:rsid w:val="0088681D"/>
    <w:rsid w:val="00887831"/>
    <w:rsid w:val="0089175E"/>
    <w:rsid w:val="00893FD4"/>
    <w:rsid w:val="00894106"/>
    <w:rsid w:val="008974E3"/>
    <w:rsid w:val="0089757D"/>
    <w:rsid w:val="008A1983"/>
    <w:rsid w:val="008A23A9"/>
    <w:rsid w:val="008A78D3"/>
    <w:rsid w:val="008A7F92"/>
    <w:rsid w:val="008B01A5"/>
    <w:rsid w:val="008B1EEB"/>
    <w:rsid w:val="008B208B"/>
    <w:rsid w:val="008B3B82"/>
    <w:rsid w:val="008B5E67"/>
    <w:rsid w:val="008C00F5"/>
    <w:rsid w:val="008C10BD"/>
    <w:rsid w:val="008C1289"/>
    <w:rsid w:val="008C2520"/>
    <w:rsid w:val="008C6858"/>
    <w:rsid w:val="008D03C1"/>
    <w:rsid w:val="008D569D"/>
    <w:rsid w:val="008D60D3"/>
    <w:rsid w:val="008E1EAE"/>
    <w:rsid w:val="008E2B13"/>
    <w:rsid w:val="008E4A81"/>
    <w:rsid w:val="008E4C33"/>
    <w:rsid w:val="008E686D"/>
    <w:rsid w:val="008E6DFE"/>
    <w:rsid w:val="008F0A11"/>
    <w:rsid w:val="008F1524"/>
    <w:rsid w:val="008F16F9"/>
    <w:rsid w:val="008F3369"/>
    <w:rsid w:val="008F4682"/>
    <w:rsid w:val="008F4FFE"/>
    <w:rsid w:val="008F5E6C"/>
    <w:rsid w:val="008F6B10"/>
    <w:rsid w:val="009008A0"/>
    <w:rsid w:val="00900CD5"/>
    <w:rsid w:val="009030CB"/>
    <w:rsid w:val="009036B9"/>
    <w:rsid w:val="009068C6"/>
    <w:rsid w:val="00907EBB"/>
    <w:rsid w:val="00911774"/>
    <w:rsid w:val="009126EB"/>
    <w:rsid w:val="009129DE"/>
    <w:rsid w:val="00914CDC"/>
    <w:rsid w:val="00920CD6"/>
    <w:rsid w:val="0092215A"/>
    <w:rsid w:val="00922970"/>
    <w:rsid w:val="009238B6"/>
    <w:rsid w:val="0092421A"/>
    <w:rsid w:val="0092659D"/>
    <w:rsid w:val="009323F9"/>
    <w:rsid w:val="00932621"/>
    <w:rsid w:val="00932AE8"/>
    <w:rsid w:val="00932CED"/>
    <w:rsid w:val="00934B6F"/>
    <w:rsid w:val="00941A85"/>
    <w:rsid w:val="00941BD6"/>
    <w:rsid w:val="009421DC"/>
    <w:rsid w:val="009438AB"/>
    <w:rsid w:val="00943E93"/>
    <w:rsid w:val="00945BA8"/>
    <w:rsid w:val="00947EBB"/>
    <w:rsid w:val="00951802"/>
    <w:rsid w:val="00953C66"/>
    <w:rsid w:val="00956418"/>
    <w:rsid w:val="00956A24"/>
    <w:rsid w:val="00957370"/>
    <w:rsid w:val="009604DF"/>
    <w:rsid w:val="00960BF6"/>
    <w:rsid w:val="00960D95"/>
    <w:rsid w:val="009612BF"/>
    <w:rsid w:val="00961486"/>
    <w:rsid w:val="00965BBA"/>
    <w:rsid w:val="00966F94"/>
    <w:rsid w:val="009719AF"/>
    <w:rsid w:val="00971E24"/>
    <w:rsid w:val="00971FB7"/>
    <w:rsid w:val="00973CB9"/>
    <w:rsid w:val="009755F8"/>
    <w:rsid w:val="00975601"/>
    <w:rsid w:val="0097583D"/>
    <w:rsid w:val="00976AC8"/>
    <w:rsid w:val="00976E11"/>
    <w:rsid w:val="009803C9"/>
    <w:rsid w:val="0098466D"/>
    <w:rsid w:val="0098496C"/>
    <w:rsid w:val="00987474"/>
    <w:rsid w:val="00990C6C"/>
    <w:rsid w:val="00991CEC"/>
    <w:rsid w:val="00993B9C"/>
    <w:rsid w:val="00994911"/>
    <w:rsid w:val="009950AE"/>
    <w:rsid w:val="0099519E"/>
    <w:rsid w:val="009A1C25"/>
    <w:rsid w:val="009A42D7"/>
    <w:rsid w:val="009A6AD9"/>
    <w:rsid w:val="009A6AF3"/>
    <w:rsid w:val="009A6B21"/>
    <w:rsid w:val="009A6BD2"/>
    <w:rsid w:val="009B2472"/>
    <w:rsid w:val="009B4AAC"/>
    <w:rsid w:val="009B5E35"/>
    <w:rsid w:val="009C0BA9"/>
    <w:rsid w:val="009C102C"/>
    <w:rsid w:val="009C1570"/>
    <w:rsid w:val="009C2E49"/>
    <w:rsid w:val="009C2E66"/>
    <w:rsid w:val="009C40BE"/>
    <w:rsid w:val="009C4978"/>
    <w:rsid w:val="009C4E3C"/>
    <w:rsid w:val="009C77C7"/>
    <w:rsid w:val="009D0E98"/>
    <w:rsid w:val="009D38F7"/>
    <w:rsid w:val="009E0359"/>
    <w:rsid w:val="009E0A56"/>
    <w:rsid w:val="009E0DCF"/>
    <w:rsid w:val="009E1B7F"/>
    <w:rsid w:val="009F44CA"/>
    <w:rsid w:val="009F64FC"/>
    <w:rsid w:val="009F71AE"/>
    <w:rsid w:val="00A00CDD"/>
    <w:rsid w:val="00A015D6"/>
    <w:rsid w:val="00A01B10"/>
    <w:rsid w:val="00A047B1"/>
    <w:rsid w:val="00A1154C"/>
    <w:rsid w:val="00A1310F"/>
    <w:rsid w:val="00A14F0A"/>
    <w:rsid w:val="00A203AA"/>
    <w:rsid w:val="00A2421F"/>
    <w:rsid w:val="00A25212"/>
    <w:rsid w:val="00A26A62"/>
    <w:rsid w:val="00A27577"/>
    <w:rsid w:val="00A31926"/>
    <w:rsid w:val="00A3245F"/>
    <w:rsid w:val="00A34F54"/>
    <w:rsid w:val="00A36DDB"/>
    <w:rsid w:val="00A36F2C"/>
    <w:rsid w:val="00A37022"/>
    <w:rsid w:val="00A409D5"/>
    <w:rsid w:val="00A41544"/>
    <w:rsid w:val="00A42C4F"/>
    <w:rsid w:val="00A43CF8"/>
    <w:rsid w:val="00A43D7E"/>
    <w:rsid w:val="00A45235"/>
    <w:rsid w:val="00A454D1"/>
    <w:rsid w:val="00A45BED"/>
    <w:rsid w:val="00A45DEF"/>
    <w:rsid w:val="00A46B91"/>
    <w:rsid w:val="00A555CB"/>
    <w:rsid w:val="00A558BA"/>
    <w:rsid w:val="00A55AD9"/>
    <w:rsid w:val="00A56486"/>
    <w:rsid w:val="00A5708D"/>
    <w:rsid w:val="00A6585A"/>
    <w:rsid w:val="00A70E82"/>
    <w:rsid w:val="00A718C7"/>
    <w:rsid w:val="00A72915"/>
    <w:rsid w:val="00A74940"/>
    <w:rsid w:val="00A76226"/>
    <w:rsid w:val="00A768B7"/>
    <w:rsid w:val="00A77015"/>
    <w:rsid w:val="00A80D7C"/>
    <w:rsid w:val="00A810BE"/>
    <w:rsid w:val="00A819BD"/>
    <w:rsid w:val="00A82EBA"/>
    <w:rsid w:val="00A83CC5"/>
    <w:rsid w:val="00A83DEE"/>
    <w:rsid w:val="00A84633"/>
    <w:rsid w:val="00A86B16"/>
    <w:rsid w:val="00A86C87"/>
    <w:rsid w:val="00A94BF0"/>
    <w:rsid w:val="00A96664"/>
    <w:rsid w:val="00A977F3"/>
    <w:rsid w:val="00AA112E"/>
    <w:rsid w:val="00AA232A"/>
    <w:rsid w:val="00AA3871"/>
    <w:rsid w:val="00AA47EC"/>
    <w:rsid w:val="00AA6E73"/>
    <w:rsid w:val="00AA71BD"/>
    <w:rsid w:val="00AA7689"/>
    <w:rsid w:val="00AA79AD"/>
    <w:rsid w:val="00AB283C"/>
    <w:rsid w:val="00AB2CCE"/>
    <w:rsid w:val="00AB38A6"/>
    <w:rsid w:val="00AB4459"/>
    <w:rsid w:val="00AC00A2"/>
    <w:rsid w:val="00AC21F8"/>
    <w:rsid w:val="00AC2ECA"/>
    <w:rsid w:val="00AD0100"/>
    <w:rsid w:val="00AD1BAB"/>
    <w:rsid w:val="00AD2761"/>
    <w:rsid w:val="00AD3965"/>
    <w:rsid w:val="00AD62BD"/>
    <w:rsid w:val="00AD7036"/>
    <w:rsid w:val="00AD7241"/>
    <w:rsid w:val="00AD7705"/>
    <w:rsid w:val="00AE25FC"/>
    <w:rsid w:val="00AE4109"/>
    <w:rsid w:val="00AE6175"/>
    <w:rsid w:val="00AF276A"/>
    <w:rsid w:val="00AF4927"/>
    <w:rsid w:val="00AF516A"/>
    <w:rsid w:val="00AF6D01"/>
    <w:rsid w:val="00AF6E76"/>
    <w:rsid w:val="00AF7408"/>
    <w:rsid w:val="00AF7658"/>
    <w:rsid w:val="00B0407E"/>
    <w:rsid w:val="00B060F0"/>
    <w:rsid w:val="00B0695B"/>
    <w:rsid w:val="00B0720A"/>
    <w:rsid w:val="00B1000B"/>
    <w:rsid w:val="00B1036F"/>
    <w:rsid w:val="00B10DBD"/>
    <w:rsid w:val="00B11B46"/>
    <w:rsid w:val="00B11EE8"/>
    <w:rsid w:val="00B13463"/>
    <w:rsid w:val="00B14CE9"/>
    <w:rsid w:val="00B162C2"/>
    <w:rsid w:val="00B164FF"/>
    <w:rsid w:val="00B1707B"/>
    <w:rsid w:val="00B17603"/>
    <w:rsid w:val="00B21867"/>
    <w:rsid w:val="00B259BB"/>
    <w:rsid w:val="00B25E22"/>
    <w:rsid w:val="00B26529"/>
    <w:rsid w:val="00B26B3E"/>
    <w:rsid w:val="00B3185B"/>
    <w:rsid w:val="00B31B21"/>
    <w:rsid w:val="00B32B00"/>
    <w:rsid w:val="00B34D4B"/>
    <w:rsid w:val="00B35631"/>
    <w:rsid w:val="00B36075"/>
    <w:rsid w:val="00B36C96"/>
    <w:rsid w:val="00B41594"/>
    <w:rsid w:val="00B41E1E"/>
    <w:rsid w:val="00B4554B"/>
    <w:rsid w:val="00B505D9"/>
    <w:rsid w:val="00B51236"/>
    <w:rsid w:val="00B5187E"/>
    <w:rsid w:val="00B531B3"/>
    <w:rsid w:val="00B54F5D"/>
    <w:rsid w:val="00B559D3"/>
    <w:rsid w:val="00B57331"/>
    <w:rsid w:val="00B57AD5"/>
    <w:rsid w:val="00B60C3F"/>
    <w:rsid w:val="00B61E49"/>
    <w:rsid w:val="00B65328"/>
    <w:rsid w:val="00B65C2E"/>
    <w:rsid w:val="00B663C4"/>
    <w:rsid w:val="00B66463"/>
    <w:rsid w:val="00B7016D"/>
    <w:rsid w:val="00B72850"/>
    <w:rsid w:val="00B72EFA"/>
    <w:rsid w:val="00B72F14"/>
    <w:rsid w:val="00B73141"/>
    <w:rsid w:val="00B73EA5"/>
    <w:rsid w:val="00B7410E"/>
    <w:rsid w:val="00B761B1"/>
    <w:rsid w:val="00B80056"/>
    <w:rsid w:val="00B8068C"/>
    <w:rsid w:val="00B82605"/>
    <w:rsid w:val="00B8361E"/>
    <w:rsid w:val="00B83EC1"/>
    <w:rsid w:val="00B855D6"/>
    <w:rsid w:val="00B87DC6"/>
    <w:rsid w:val="00B93E78"/>
    <w:rsid w:val="00B94FF7"/>
    <w:rsid w:val="00B955AA"/>
    <w:rsid w:val="00B95AF4"/>
    <w:rsid w:val="00B962E6"/>
    <w:rsid w:val="00BA07D4"/>
    <w:rsid w:val="00BA08E0"/>
    <w:rsid w:val="00BA0C50"/>
    <w:rsid w:val="00BA3095"/>
    <w:rsid w:val="00BA4CD9"/>
    <w:rsid w:val="00BA508F"/>
    <w:rsid w:val="00BA59F8"/>
    <w:rsid w:val="00BA5D58"/>
    <w:rsid w:val="00BA647A"/>
    <w:rsid w:val="00BA759F"/>
    <w:rsid w:val="00BA76A2"/>
    <w:rsid w:val="00BB08EE"/>
    <w:rsid w:val="00BB2A34"/>
    <w:rsid w:val="00BB5A4B"/>
    <w:rsid w:val="00BB61EE"/>
    <w:rsid w:val="00BB6FD6"/>
    <w:rsid w:val="00BC0DA3"/>
    <w:rsid w:val="00BC0F8D"/>
    <w:rsid w:val="00BC257A"/>
    <w:rsid w:val="00BC5E09"/>
    <w:rsid w:val="00BD1074"/>
    <w:rsid w:val="00BD4AD6"/>
    <w:rsid w:val="00BD4C2C"/>
    <w:rsid w:val="00BD4CEA"/>
    <w:rsid w:val="00BD4DFF"/>
    <w:rsid w:val="00BE1CA6"/>
    <w:rsid w:val="00BE2661"/>
    <w:rsid w:val="00BE2671"/>
    <w:rsid w:val="00BE347D"/>
    <w:rsid w:val="00BE4C61"/>
    <w:rsid w:val="00BE52E9"/>
    <w:rsid w:val="00BF18A7"/>
    <w:rsid w:val="00BF20CE"/>
    <w:rsid w:val="00BF33CE"/>
    <w:rsid w:val="00C00597"/>
    <w:rsid w:val="00C0771B"/>
    <w:rsid w:val="00C07999"/>
    <w:rsid w:val="00C07EF6"/>
    <w:rsid w:val="00C1219B"/>
    <w:rsid w:val="00C13BDA"/>
    <w:rsid w:val="00C153C2"/>
    <w:rsid w:val="00C15605"/>
    <w:rsid w:val="00C16504"/>
    <w:rsid w:val="00C17A92"/>
    <w:rsid w:val="00C204ED"/>
    <w:rsid w:val="00C22864"/>
    <w:rsid w:val="00C244F3"/>
    <w:rsid w:val="00C2498A"/>
    <w:rsid w:val="00C31B2B"/>
    <w:rsid w:val="00C32A37"/>
    <w:rsid w:val="00C34381"/>
    <w:rsid w:val="00C36B74"/>
    <w:rsid w:val="00C40014"/>
    <w:rsid w:val="00C41076"/>
    <w:rsid w:val="00C41741"/>
    <w:rsid w:val="00C43DC0"/>
    <w:rsid w:val="00C43EE1"/>
    <w:rsid w:val="00C44649"/>
    <w:rsid w:val="00C44EAC"/>
    <w:rsid w:val="00C45C50"/>
    <w:rsid w:val="00C466C4"/>
    <w:rsid w:val="00C47468"/>
    <w:rsid w:val="00C47D83"/>
    <w:rsid w:val="00C506D8"/>
    <w:rsid w:val="00C549FF"/>
    <w:rsid w:val="00C57B2A"/>
    <w:rsid w:val="00C6131B"/>
    <w:rsid w:val="00C61552"/>
    <w:rsid w:val="00C6243B"/>
    <w:rsid w:val="00C62C02"/>
    <w:rsid w:val="00C66B06"/>
    <w:rsid w:val="00C70BFA"/>
    <w:rsid w:val="00C71ED1"/>
    <w:rsid w:val="00C721F1"/>
    <w:rsid w:val="00C7225A"/>
    <w:rsid w:val="00C72565"/>
    <w:rsid w:val="00C77028"/>
    <w:rsid w:val="00C806C2"/>
    <w:rsid w:val="00C843AF"/>
    <w:rsid w:val="00C849B4"/>
    <w:rsid w:val="00C865FD"/>
    <w:rsid w:val="00C87243"/>
    <w:rsid w:val="00C874AD"/>
    <w:rsid w:val="00C90003"/>
    <w:rsid w:val="00C90C9E"/>
    <w:rsid w:val="00C90DB2"/>
    <w:rsid w:val="00C94020"/>
    <w:rsid w:val="00C9483B"/>
    <w:rsid w:val="00C94ABE"/>
    <w:rsid w:val="00C95C03"/>
    <w:rsid w:val="00C96C10"/>
    <w:rsid w:val="00C96E22"/>
    <w:rsid w:val="00C97BA1"/>
    <w:rsid w:val="00CA1179"/>
    <w:rsid w:val="00CA1429"/>
    <w:rsid w:val="00CA1BEA"/>
    <w:rsid w:val="00CA29E9"/>
    <w:rsid w:val="00CA533A"/>
    <w:rsid w:val="00CA72D5"/>
    <w:rsid w:val="00CB0777"/>
    <w:rsid w:val="00CB12A8"/>
    <w:rsid w:val="00CB1E1F"/>
    <w:rsid w:val="00CB348F"/>
    <w:rsid w:val="00CB3B20"/>
    <w:rsid w:val="00CB6113"/>
    <w:rsid w:val="00CC03FC"/>
    <w:rsid w:val="00CC4970"/>
    <w:rsid w:val="00CC5778"/>
    <w:rsid w:val="00CC5BFE"/>
    <w:rsid w:val="00CC688F"/>
    <w:rsid w:val="00CD4329"/>
    <w:rsid w:val="00CE42EB"/>
    <w:rsid w:val="00CE7727"/>
    <w:rsid w:val="00CF14EC"/>
    <w:rsid w:val="00CF1FA0"/>
    <w:rsid w:val="00CF25F0"/>
    <w:rsid w:val="00CF307B"/>
    <w:rsid w:val="00CF48AE"/>
    <w:rsid w:val="00D01300"/>
    <w:rsid w:val="00D01E05"/>
    <w:rsid w:val="00D037F8"/>
    <w:rsid w:val="00D03A13"/>
    <w:rsid w:val="00D03A1A"/>
    <w:rsid w:val="00D04843"/>
    <w:rsid w:val="00D0717E"/>
    <w:rsid w:val="00D075DD"/>
    <w:rsid w:val="00D10E59"/>
    <w:rsid w:val="00D140A3"/>
    <w:rsid w:val="00D1476D"/>
    <w:rsid w:val="00D1578B"/>
    <w:rsid w:val="00D15F96"/>
    <w:rsid w:val="00D160D4"/>
    <w:rsid w:val="00D1654F"/>
    <w:rsid w:val="00D20BF7"/>
    <w:rsid w:val="00D20D8A"/>
    <w:rsid w:val="00D22400"/>
    <w:rsid w:val="00D23B2B"/>
    <w:rsid w:val="00D249A2"/>
    <w:rsid w:val="00D24BD2"/>
    <w:rsid w:val="00D25B7B"/>
    <w:rsid w:val="00D27651"/>
    <w:rsid w:val="00D27F0A"/>
    <w:rsid w:val="00D3175D"/>
    <w:rsid w:val="00D3360C"/>
    <w:rsid w:val="00D33C2B"/>
    <w:rsid w:val="00D33D3B"/>
    <w:rsid w:val="00D3439B"/>
    <w:rsid w:val="00D3561A"/>
    <w:rsid w:val="00D35873"/>
    <w:rsid w:val="00D359F7"/>
    <w:rsid w:val="00D400DC"/>
    <w:rsid w:val="00D44A0E"/>
    <w:rsid w:val="00D46720"/>
    <w:rsid w:val="00D46A58"/>
    <w:rsid w:val="00D54D74"/>
    <w:rsid w:val="00D571D8"/>
    <w:rsid w:val="00D57464"/>
    <w:rsid w:val="00D600A1"/>
    <w:rsid w:val="00D61BE7"/>
    <w:rsid w:val="00D65A4E"/>
    <w:rsid w:val="00D66BE0"/>
    <w:rsid w:val="00D67368"/>
    <w:rsid w:val="00D71269"/>
    <w:rsid w:val="00D72C0C"/>
    <w:rsid w:val="00D72D94"/>
    <w:rsid w:val="00D734C8"/>
    <w:rsid w:val="00D747D2"/>
    <w:rsid w:val="00D7586E"/>
    <w:rsid w:val="00D75B68"/>
    <w:rsid w:val="00D7720A"/>
    <w:rsid w:val="00D85665"/>
    <w:rsid w:val="00D85CEF"/>
    <w:rsid w:val="00D86166"/>
    <w:rsid w:val="00D8667F"/>
    <w:rsid w:val="00D94299"/>
    <w:rsid w:val="00DA1ED0"/>
    <w:rsid w:val="00DA381E"/>
    <w:rsid w:val="00DA4DB1"/>
    <w:rsid w:val="00DA56F6"/>
    <w:rsid w:val="00DB019F"/>
    <w:rsid w:val="00DB0B4E"/>
    <w:rsid w:val="00DB1D4C"/>
    <w:rsid w:val="00DB2A24"/>
    <w:rsid w:val="00DB664D"/>
    <w:rsid w:val="00DB79A3"/>
    <w:rsid w:val="00DC0935"/>
    <w:rsid w:val="00DC14E1"/>
    <w:rsid w:val="00DC4ABE"/>
    <w:rsid w:val="00DD0781"/>
    <w:rsid w:val="00DD43EF"/>
    <w:rsid w:val="00DD44A4"/>
    <w:rsid w:val="00DE0205"/>
    <w:rsid w:val="00DE2CB8"/>
    <w:rsid w:val="00DE3DBD"/>
    <w:rsid w:val="00DE4E69"/>
    <w:rsid w:val="00DE72DC"/>
    <w:rsid w:val="00DE7CE0"/>
    <w:rsid w:val="00DF188D"/>
    <w:rsid w:val="00DF2D25"/>
    <w:rsid w:val="00DF4D39"/>
    <w:rsid w:val="00DF52DE"/>
    <w:rsid w:val="00DF5743"/>
    <w:rsid w:val="00DF5FEF"/>
    <w:rsid w:val="00E034C1"/>
    <w:rsid w:val="00E0647E"/>
    <w:rsid w:val="00E10258"/>
    <w:rsid w:val="00E12804"/>
    <w:rsid w:val="00E13694"/>
    <w:rsid w:val="00E14DBE"/>
    <w:rsid w:val="00E14EED"/>
    <w:rsid w:val="00E17560"/>
    <w:rsid w:val="00E17850"/>
    <w:rsid w:val="00E230B7"/>
    <w:rsid w:val="00E23D9E"/>
    <w:rsid w:val="00E24C96"/>
    <w:rsid w:val="00E260A8"/>
    <w:rsid w:val="00E2683E"/>
    <w:rsid w:val="00E271B8"/>
    <w:rsid w:val="00E335C3"/>
    <w:rsid w:val="00E33E55"/>
    <w:rsid w:val="00E34317"/>
    <w:rsid w:val="00E34485"/>
    <w:rsid w:val="00E35163"/>
    <w:rsid w:val="00E35D05"/>
    <w:rsid w:val="00E40C01"/>
    <w:rsid w:val="00E40E25"/>
    <w:rsid w:val="00E43DD2"/>
    <w:rsid w:val="00E44728"/>
    <w:rsid w:val="00E44CFA"/>
    <w:rsid w:val="00E4607E"/>
    <w:rsid w:val="00E46859"/>
    <w:rsid w:val="00E53835"/>
    <w:rsid w:val="00E53E13"/>
    <w:rsid w:val="00E55A93"/>
    <w:rsid w:val="00E56723"/>
    <w:rsid w:val="00E56C4E"/>
    <w:rsid w:val="00E642B1"/>
    <w:rsid w:val="00E65979"/>
    <w:rsid w:val="00E662C4"/>
    <w:rsid w:val="00E67086"/>
    <w:rsid w:val="00E70F60"/>
    <w:rsid w:val="00E733B6"/>
    <w:rsid w:val="00E736E3"/>
    <w:rsid w:val="00E75183"/>
    <w:rsid w:val="00E7692C"/>
    <w:rsid w:val="00E81B85"/>
    <w:rsid w:val="00E83ED5"/>
    <w:rsid w:val="00E86D2B"/>
    <w:rsid w:val="00E8769A"/>
    <w:rsid w:val="00E879C1"/>
    <w:rsid w:val="00E87A06"/>
    <w:rsid w:val="00E956AB"/>
    <w:rsid w:val="00E960E9"/>
    <w:rsid w:val="00E964A1"/>
    <w:rsid w:val="00E97463"/>
    <w:rsid w:val="00EA213E"/>
    <w:rsid w:val="00EA24A2"/>
    <w:rsid w:val="00EA7C45"/>
    <w:rsid w:val="00EA886C"/>
    <w:rsid w:val="00EB0528"/>
    <w:rsid w:val="00EB193F"/>
    <w:rsid w:val="00EB2659"/>
    <w:rsid w:val="00EB38B6"/>
    <w:rsid w:val="00EB3A02"/>
    <w:rsid w:val="00EB5756"/>
    <w:rsid w:val="00EB595B"/>
    <w:rsid w:val="00EC0332"/>
    <w:rsid w:val="00EC1808"/>
    <w:rsid w:val="00EC1EB5"/>
    <w:rsid w:val="00EC441C"/>
    <w:rsid w:val="00EC52B4"/>
    <w:rsid w:val="00EC6300"/>
    <w:rsid w:val="00EC74BE"/>
    <w:rsid w:val="00ED1542"/>
    <w:rsid w:val="00ED4B56"/>
    <w:rsid w:val="00ED7544"/>
    <w:rsid w:val="00EE0094"/>
    <w:rsid w:val="00EE0E81"/>
    <w:rsid w:val="00EE1061"/>
    <w:rsid w:val="00EE14D4"/>
    <w:rsid w:val="00EE16D8"/>
    <w:rsid w:val="00EE2027"/>
    <w:rsid w:val="00EE4A45"/>
    <w:rsid w:val="00EE63C1"/>
    <w:rsid w:val="00EE6AE4"/>
    <w:rsid w:val="00EF346C"/>
    <w:rsid w:val="00EF47C7"/>
    <w:rsid w:val="00EF4E67"/>
    <w:rsid w:val="00EF5832"/>
    <w:rsid w:val="00EF74EF"/>
    <w:rsid w:val="00EF7C37"/>
    <w:rsid w:val="00F00269"/>
    <w:rsid w:val="00F00415"/>
    <w:rsid w:val="00F032A4"/>
    <w:rsid w:val="00F05D2B"/>
    <w:rsid w:val="00F06411"/>
    <w:rsid w:val="00F0701E"/>
    <w:rsid w:val="00F07A9D"/>
    <w:rsid w:val="00F13061"/>
    <w:rsid w:val="00F13C2F"/>
    <w:rsid w:val="00F13D7E"/>
    <w:rsid w:val="00F14555"/>
    <w:rsid w:val="00F14B50"/>
    <w:rsid w:val="00F14F96"/>
    <w:rsid w:val="00F21DE5"/>
    <w:rsid w:val="00F23A10"/>
    <w:rsid w:val="00F25CCF"/>
    <w:rsid w:val="00F26659"/>
    <w:rsid w:val="00F3014B"/>
    <w:rsid w:val="00F316F9"/>
    <w:rsid w:val="00F33758"/>
    <w:rsid w:val="00F3505A"/>
    <w:rsid w:val="00F352B2"/>
    <w:rsid w:val="00F35903"/>
    <w:rsid w:val="00F35FB0"/>
    <w:rsid w:val="00F3646C"/>
    <w:rsid w:val="00F426EE"/>
    <w:rsid w:val="00F45AD5"/>
    <w:rsid w:val="00F45B3B"/>
    <w:rsid w:val="00F46F45"/>
    <w:rsid w:val="00F51FDD"/>
    <w:rsid w:val="00F531D4"/>
    <w:rsid w:val="00F53959"/>
    <w:rsid w:val="00F539D9"/>
    <w:rsid w:val="00F548FA"/>
    <w:rsid w:val="00F57E13"/>
    <w:rsid w:val="00F60DE0"/>
    <w:rsid w:val="00F614C1"/>
    <w:rsid w:val="00F622BB"/>
    <w:rsid w:val="00F64FC2"/>
    <w:rsid w:val="00F65C35"/>
    <w:rsid w:val="00F66221"/>
    <w:rsid w:val="00F67A3B"/>
    <w:rsid w:val="00F71146"/>
    <w:rsid w:val="00F7131C"/>
    <w:rsid w:val="00F7179A"/>
    <w:rsid w:val="00F72A47"/>
    <w:rsid w:val="00F72EF1"/>
    <w:rsid w:val="00F76286"/>
    <w:rsid w:val="00F802F7"/>
    <w:rsid w:val="00F8129A"/>
    <w:rsid w:val="00F855EC"/>
    <w:rsid w:val="00F86FF8"/>
    <w:rsid w:val="00F87F58"/>
    <w:rsid w:val="00F9038D"/>
    <w:rsid w:val="00F94DBA"/>
    <w:rsid w:val="00F95FC2"/>
    <w:rsid w:val="00F97F4C"/>
    <w:rsid w:val="00FA148A"/>
    <w:rsid w:val="00FA31B5"/>
    <w:rsid w:val="00FA43A1"/>
    <w:rsid w:val="00FA446B"/>
    <w:rsid w:val="00FA47B7"/>
    <w:rsid w:val="00FA5A4A"/>
    <w:rsid w:val="00FB3486"/>
    <w:rsid w:val="00FB39A1"/>
    <w:rsid w:val="00FB3F14"/>
    <w:rsid w:val="00FB4668"/>
    <w:rsid w:val="00FB4D2C"/>
    <w:rsid w:val="00FB54B4"/>
    <w:rsid w:val="00FB6CAC"/>
    <w:rsid w:val="00FC41C9"/>
    <w:rsid w:val="00FC45CE"/>
    <w:rsid w:val="00FC4E03"/>
    <w:rsid w:val="00FD2581"/>
    <w:rsid w:val="00FD6BB6"/>
    <w:rsid w:val="00FD79DD"/>
    <w:rsid w:val="00FE12A3"/>
    <w:rsid w:val="00FE5121"/>
    <w:rsid w:val="00FE588E"/>
    <w:rsid w:val="00FE6F8E"/>
    <w:rsid w:val="00FE7AC0"/>
    <w:rsid w:val="00FE7DD1"/>
    <w:rsid w:val="00FF0528"/>
    <w:rsid w:val="00FF082D"/>
    <w:rsid w:val="00FF1A2C"/>
    <w:rsid w:val="00FF2170"/>
    <w:rsid w:val="00FF27C0"/>
    <w:rsid w:val="00FF39E4"/>
    <w:rsid w:val="00FF6D48"/>
    <w:rsid w:val="02F4E7F5"/>
    <w:rsid w:val="04B02F81"/>
    <w:rsid w:val="05951769"/>
    <w:rsid w:val="071B7FB6"/>
    <w:rsid w:val="07A3B3CE"/>
    <w:rsid w:val="07AAB257"/>
    <w:rsid w:val="081DEB9E"/>
    <w:rsid w:val="0871F590"/>
    <w:rsid w:val="0A5ABB07"/>
    <w:rsid w:val="0A9A412C"/>
    <w:rsid w:val="0ADB5490"/>
    <w:rsid w:val="0B2BBE46"/>
    <w:rsid w:val="0B978C94"/>
    <w:rsid w:val="0C7724F1"/>
    <w:rsid w:val="0E33CDC0"/>
    <w:rsid w:val="0F1FDC6C"/>
    <w:rsid w:val="106CC8BD"/>
    <w:rsid w:val="11758A2C"/>
    <w:rsid w:val="119DB5BA"/>
    <w:rsid w:val="11A12C81"/>
    <w:rsid w:val="11B167FE"/>
    <w:rsid w:val="133CFCE2"/>
    <w:rsid w:val="138C72D7"/>
    <w:rsid w:val="16C6DA96"/>
    <w:rsid w:val="191BE9C1"/>
    <w:rsid w:val="19A221C3"/>
    <w:rsid w:val="19AFC4A2"/>
    <w:rsid w:val="19CB32D7"/>
    <w:rsid w:val="1AFA7595"/>
    <w:rsid w:val="1B5910EC"/>
    <w:rsid w:val="1B8A6732"/>
    <w:rsid w:val="1BEEDAA3"/>
    <w:rsid w:val="1C09182B"/>
    <w:rsid w:val="1D1EE267"/>
    <w:rsid w:val="1D4455C0"/>
    <w:rsid w:val="1DB4EF82"/>
    <w:rsid w:val="1DD110BD"/>
    <w:rsid w:val="1DE21B21"/>
    <w:rsid w:val="1DED5DA7"/>
    <w:rsid w:val="1E2D655B"/>
    <w:rsid w:val="1F0FF0C2"/>
    <w:rsid w:val="1F4D94FC"/>
    <w:rsid w:val="1FF7FCA9"/>
    <w:rsid w:val="2002578D"/>
    <w:rsid w:val="205DD3D0"/>
    <w:rsid w:val="20B5668A"/>
    <w:rsid w:val="218BADF6"/>
    <w:rsid w:val="222652B7"/>
    <w:rsid w:val="2395498C"/>
    <w:rsid w:val="24855C7B"/>
    <w:rsid w:val="2546B938"/>
    <w:rsid w:val="261AC908"/>
    <w:rsid w:val="2622F02A"/>
    <w:rsid w:val="264136F8"/>
    <w:rsid w:val="269D27FA"/>
    <w:rsid w:val="27C36C82"/>
    <w:rsid w:val="2808B6F9"/>
    <w:rsid w:val="287E59FA"/>
    <w:rsid w:val="2C53B653"/>
    <w:rsid w:val="2D3EAB28"/>
    <w:rsid w:val="2E4E3C7D"/>
    <w:rsid w:val="2F03FB4B"/>
    <w:rsid w:val="2F8B5715"/>
    <w:rsid w:val="2FE46746"/>
    <w:rsid w:val="2FEFD0B8"/>
    <w:rsid w:val="2FF28E8E"/>
    <w:rsid w:val="3137CD33"/>
    <w:rsid w:val="31D8E7D7"/>
    <w:rsid w:val="3212D3A1"/>
    <w:rsid w:val="3238FB9B"/>
    <w:rsid w:val="3323F646"/>
    <w:rsid w:val="3374B838"/>
    <w:rsid w:val="33888523"/>
    <w:rsid w:val="349FF82E"/>
    <w:rsid w:val="34CA9F89"/>
    <w:rsid w:val="359D4396"/>
    <w:rsid w:val="35AF4D54"/>
    <w:rsid w:val="36500F2E"/>
    <w:rsid w:val="36D752B6"/>
    <w:rsid w:val="37532D24"/>
    <w:rsid w:val="3789C30D"/>
    <w:rsid w:val="37FBE685"/>
    <w:rsid w:val="39736951"/>
    <w:rsid w:val="397D4E33"/>
    <w:rsid w:val="3996E90A"/>
    <w:rsid w:val="3BE1E6C2"/>
    <w:rsid w:val="3BF0F4BA"/>
    <w:rsid w:val="3C6719F4"/>
    <w:rsid w:val="3E02EA55"/>
    <w:rsid w:val="3E46DA74"/>
    <w:rsid w:val="3E7211A7"/>
    <w:rsid w:val="3EDD14B1"/>
    <w:rsid w:val="3F186FE9"/>
    <w:rsid w:val="3F6CDB2F"/>
    <w:rsid w:val="3F897F0F"/>
    <w:rsid w:val="408F680D"/>
    <w:rsid w:val="412DD5D6"/>
    <w:rsid w:val="41A2351D"/>
    <w:rsid w:val="424635B5"/>
    <w:rsid w:val="45AAFAF1"/>
    <w:rsid w:val="45AE3C61"/>
    <w:rsid w:val="45B71C04"/>
    <w:rsid w:val="45D21E68"/>
    <w:rsid w:val="45F80C87"/>
    <w:rsid w:val="461CB52E"/>
    <w:rsid w:val="4638C3FC"/>
    <w:rsid w:val="46C0EB8B"/>
    <w:rsid w:val="46F03237"/>
    <w:rsid w:val="47D4945D"/>
    <w:rsid w:val="4800638A"/>
    <w:rsid w:val="4938E7BB"/>
    <w:rsid w:val="49E461EA"/>
    <w:rsid w:val="4C1F8CFB"/>
    <w:rsid w:val="4C4EF3C6"/>
    <w:rsid w:val="4CD33CB3"/>
    <w:rsid w:val="4E6502B6"/>
    <w:rsid w:val="4EFB2601"/>
    <w:rsid w:val="4FA5DE6F"/>
    <w:rsid w:val="4FC6C62C"/>
    <w:rsid w:val="50875C46"/>
    <w:rsid w:val="5137DC33"/>
    <w:rsid w:val="517347D3"/>
    <w:rsid w:val="5329196C"/>
    <w:rsid w:val="5414EED9"/>
    <w:rsid w:val="547243F2"/>
    <w:rsid w:val="54C4E9CD"/>
    <w:rsid w:val="55E8C18B"/>
    <w:rsid w:val="56E98DA4"/>
    <w:rsid w:val="57562BF1"/>
    <w:rsid w:val="579DC342"/>
    <w:rsid w:val="5833B911"/>
    <w:rsid w:val="599FC341"/>
    <w:rsid w:val="5B964DEB"/>
    <w:rsid w:val="5BD2562B"/>
    <w:rsid w:val="5C06D861"/>
    <w:rsid w:val="5C207338"/>
    <w:rsid w:val="5D6146DD"/>
    <w:rsid w:val="5E6BCC13"/>
    <w:rsid w:val="5EE7170A"/>
    <w:rsid w:val="5F96B952"/>
    <w:rsid w:val="5FCBE350"/>
    <w:rsid w:val="5FF9669B"/>
    <w:rsid w:val="60071DF8"/>
    <w:rsid w:val="6069BF0E"/>
    <w:rsid w:val="6297F1C3"/>
    <w:rsid w:val="629DF7FB"/>
    <w:rsid w:val="62AD195F"/>
    <w:rsid w:val="63A15FD0"/>
    <w:rsid w:val="63CAC95D"/>
    <w:rsid w:val="63CEC2F4"/>
    <w:rsid w:val="6445DA7D"/>
    <w:rsid w:val="649BF18A"/>
    <w:rsid w:val="64E78A01"/>
    <w:rsid w:val="655FE5A6"/>
    <w:rsid w:val="659C6EF4"/>
    <w:rsid w:val="65AB78A7"/>
    <w:rsid w:val="66AD9C2A"/>
    <w:rsid w:val="676ADD59"/>
    <w:rsid w:val="681F8502"/>
    <w:rsid w:val="683D4DFB"/>
    <w:rsid w:val="6900E9E0"/>
    <w:rsid w:val="6958D451"/>
    <w:rsid w:val="6A0C1BBE"/>
    <w:rsid w:val="6A3E0478"/>
    <w:rsid w:val="6B162173"/>
    <w:rsid w:val="6BF039B4"/>
    <w:rsid w:val="6C079353"/>
    <w:rsid w:val="6C1B04CF"/>
    <w:rsid w:val="6C388AA2"/>
    <w:rsid w:val="6CD488B2"/>
    <w:rsid w:val="6D02CD65"/>
    <w:rsid w:val="6DD8EE8A"/>
    <w:rsid w:val="6EEBFFFD"/>
    <w:rsid w:val="6F52A591"/>
    <w:rsid w:val="6FB48CCF"/>
    <w:rsid w:val="70B6F8EF"/>
    <w:rsid w:val="70D26724"/>
    <w:rsid w:val="71AE8832"/>
    <w:rsid w:val="71EBC15A"/>
    <w:rsid w:val="71F15C38"/>
    <w:rsid w:val="72BC8AB9"/>
    <w:rsid w:val="73EE99B1"/>
    <w:rsid w:val="744E01BB"/>
    <w:rsid w:val="7519414D"/>
    <w:rsid w:val="75C6448B"/>
    <w:rsid w:val="75F3AA0D"/>
    <w:rsid w:val="76194D2E"/>
    <w:rsid w:val="761FEE1D"/>
    <w:rsid w:val="76D4D310"/>
    <w:rsid w:val="76F711E2"/>
    <w:rsid w:val="78151E96"/>
    <w:rsid w:val="78D6AA42"/>
    <w:rsid w:val="7ABD433F"/>
    <w:rsid w:val="7B1F933E"/>
    <w:rsid w:val="7B2116FA"/>
    <w:rsid w:val="7BCA8305"/>
    <w:rsid w:val="7C312899"/>
    <w:rsid w:val="7CBD4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84DB"/>
  <w15:chartTrackingRefBased/>
  <w15:docId w15:val="{227DA047-8229-4AB8-A47B-1937B378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A94"/>
    <w:rPr>
      <w:sz w:val="24"/>
      <w:szCs w:val="24"/>
      <w:lang w:eastAsia="en-US"/>
    </w:rPr>
  </w:style>
  <w:style w:type="paragraph" w:styleId="Heading1">
    <w:name w:val="heading 1"/>
    <w:basedOn w:val="Normal"/>
    <w:next w:val="Normal"/>
    <w:link w:val="Heading1Char"/>
    <w:qFormat/>
    <w:rsid w:val="00F33758"/>
    <w:pPr>
      <w:keepNext/>
      <w:pBdr>
        <w:top w:val="single" w:sz="24" w:space="3" w:color="auto"/>
        <w:left w:val="single" w:sz="24" w:space="4" w:color="auto"/>
        <w:bottom w:val="single" w:sz="24" w:space="3" w:color="auto"/>
        <w:right w:val="single" w:sz="24" w:space="4" w:color="auto"/>
      </w:pBdr>
      <w:shd w:val="clear" w:color="auto" w:fill="000000"/>
      <w:spacing w:after="240"/>
      <w:outlineLvl w:val="0"/>
    </w:pPr>
    <w:rPr>
      <w:rFonts w:ascii="Arial" w:hAnsi="Arial" w:cs="Arial"/>
      <w:b/>
      <w:sz w:val="26"/>
      <w:szCs w:val="26"/>
    </w:rPr>
  </w:style>
  <w:style w:type="paragraph" w:styleId="Heading2">
    <w:name w:val="heading 2"/>
    <w:basedOn w:val="Heading1"/>
    <w:next w:val="Normal"/>
    <w:link w:val="Heading2Char"/>
    <w:qFormat/>
    <w:rsid w:val="00277D7B"/>
    <w:pPr>
      <w:pBdr>
        <w:top w:val="single" w:sz="24" w:space="3" w:color="C0C0C0"/>
        <w:left w:val="single" w:sz="24" w:space="4" w:color="C0C0C0"/>
        <w:bottom w:val="single" w:sz="24" w:space="3" w:color="C0C0C0"/>
        <w:right w:val="single" w:sz="24" w:space="4" w:color="C0C0C0"/>
      </w:pBdr>
      <w:shd w:val="clear" w:color="auto" w:fill="C0C0C0"/>
      <w:outlineLvl w:val="1"/>
    </w:pPr>
  </w:style>
  <w:style w:type="paragraph" w:styleId="Heading3">
    <w:name w:val="heading 3"/>
    <w:basedOn w:val="Heading2"/>
    <w:next w:val="Normal"/>
    <w:link w:val="Heading3Char"/>
    <w:qFormat/>
    <w:rsid w:val="00C466C4"/>
    <w:pPr>
      <w:pBdr>
        <w:top w:val="none" w:sz="0" w:space="0" w:color="auto"/>
        <w:left w:val="none" w:sz="0" w:space="0" w:color="auto"/>
        <w:bottom w:val="none" w:sz="0" w:space="0" w:color="auto"/>
        <w:right w:val="none" w:sz="0" w:space="0" w:color="auto"/>
      </w:pBdr>
      <w:shd w:val="clear" w:color="auto" w:fill="auto"/>
      <w:spacing w:after="60"/>
      <w:outlineLvl w:val="2"/>
    </w:pPr>
    <w:rPr>
      <w:i/>
    </w:rPr>
  </w:style>
  <w:style w:type="paragraph" w:styleId="Heading4">
    <w:name w:val="heading 4"/>
    <w:basedOn w:val="Normal"/>
    <w:next w:val="Normal"/>
    <w:qFormat/>
    <w:rsid w:val="00184EBD"/>
    <w:pPr>
      <w:keepNext/>
      <w:spacing w:before="240" w:after="60"/>
      <w:outlineLvl w:val="3"/>
    </w:pPr>
    <w:rPr>
      <w:b/>
      <w:bCs/>
      <w:sz w:val="28"/>
      <w:szCs w:val="28"/>
    </w:rPr>
  </w:style>
  <w:style w:type="paragraph" w:styleId="Heading5">
    <w:name w:val="heading 5"/>
    <w:basedOn w:val="Normal"/>
    <w:next w:val="Normal"/>
    <w:qFormat/>
    <w:rsid w:val="0053080F"/>
    <w:pPr>
      <w:spacing w:before="240" w:after="60"/>
      <w:outlineLvl w:val="4"/>
    </w:pPr>
    <w:rPr>
      <w:b/>
      <w:bCs/>
      <w:i/>
      <w:iCs/>
      <w:sz w:val="26"/>
      <w:szCs w:val="26"/>
    </w:rPr>
  </w:style>
  <w:style w:type="paragraph" w:styleId="Heading7">
    <w:name w:val="heading 7"/>
    <w:basedOn w:val="Normal"/>
    <w:next w:val="Normal"/>
    <w:qFormat/>
    <w:rsid w:val="00123332"/>
    <w:pPr>
      <w:keepNext/>
      <w:widowControl w:val="0"/>
      <w:tabs>
        <w:tab w:val="left" w:pos="3240"/>
        <w:tab w:val="left" w:pos="3600"/>
        <w:tab w:val="left" w:pos="4320"/>
        <w:tab w:val="left" w:pos="5040"/>
        <w:tab w:val="left" w:pos="5760"/>
        <w:tab w:val="left" w:pos="6480"/>
        <w:tab w:val="left" w:pos="7200"/>
        <w:tab w:val="left" w:pos="7920"/>
        <w:tab w:val="left" w:pos="8640"/>
      </w:tabs>
      <w:overflowPunct w:val="0"/>
      <w:autoSpaceDE w:val="0"/>
      <w:autoSpaceDN w:val="0"/>
      <w:adjustRightInd w:val="0"/>
      <w:ind w:right="180"/>
      <w:jc w:val="center"/>
      <w:textAlignment w:val="baseline"/>
      <w:outlineLvl w:val="6"/>
    </w:pPr>
    <w:rPr>
      <w:rFonts w:ascii="Tahoma" w:hAnsi="Tahoma" w:cs="Tahoma"/>
      <w:b/>
      <w:kern w:val="28"/>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1C2"/>
    <w:pPr>
      <w:tabs>
        <w:tab w:val="center" w:pos="4320"/>
        <w:tab w:val="right" w:pos="8640"/>
      </w:tabs>
    </w:pPr>
  </w:style>
  <w:style w:type="paragraph" w:styleId="Footer">
    <w:name w:val="footer"/>
    <w:basedOn w:val="Normal"/>
    <w:rsid w:val="001661C2"/>
    <w:pPr>
      <w:tabs>
        <w:tab w:val="center" w:pos="4320"/>
        <w:tab w:val="right" w:pos="8640"/>
      </w:tabs>
    </w:pPr>
  </w:style>
  <w:style w:type="character" w:styleId="PageNumber">
    <w:name w:val="page number"/>
    <w:basedOn w:val="DefaultParagraphFont"/>
    <w:rsid w:val="001661C2"/>
  </w:style>
  <w:style w:type="paragraph" w:customStyle="1" w:styleId="Heading2CnotinTOC">
    <w:name w:val="Heading2CnotinTOC"/>
    <w:basedOn w:val="Heading2B"/>
    <w:rsid w:val="00184EBD"/>
  </w:style>
  <w:style w:type="paragraph" w:customStyle="1" w:styleId="BulletParagraph">
    <w:name w:val="BulletParagraph"/>
    <w:basedOn w:val="Normal"/>
    <w:link w:val="BulletParagraphChar"/>
    <w:rsid w:val="00180FB4"/>
    <w:pPr>
      <w:tabs>
        <w:tab w:val="num" w:pos="1080"/>
      </w:tabs>
      <w:overflowPunct w:val="0"/>
      <w:autoSpaceDE w:val="0"/>
      <w:autoSpaceDN w:val="0"/>
      <w:adjustRightInd w:val="0"/>
      <w:spacing w:after="240"/>
      <w:ind w:left="720"/>
      <w:jc w:val="both"/>
      <w:textAlignment w:val="baseline"/>
    </w:pPr>
    <w:rPr>
      <w:lang w:val="x-none" w:eastAsia="x-none"/>
    </w:rPr>
  </w:style>
  <w:style w:type="paragraph" w:customStyle="1" w:styleId="Style3">
    <w:name w:val="Style3"/>
    <w:basedOn w:val="Normal"/>
    <w:rsid w:val="00180FB4"/>
    <w:pPr>
      <w:overflowPunct w:val="0"/>
      <w:autoSpaceDE w:val="0"/>
      <w:autoSpaceDN w:val="0"/>
      <w:adjustRightInd w:val="0"/>
      <w:ind w:left="1530" w:hanging="360"/>
      <w:jc w:val="both"/>
      <w:textAlignment w:val="baseline"/>
    </w:pPr>
    <w:rPr>
      <w:color w:val="000000"/>
      <w:sz w:val="22"/>
      <w:szCs w:val="20"/>
    </w:rPr>
  </w:style>
  <w:style w:type="paragraph" w:customStyle="1" w:styleId="Style4">
    <w:name w:val="Style4"/>
    <w:basedOn w:val="Normal"/>
    <w:rsid w:val="00180FB4"/>
    <w:pPr>
      <w:overflowPunct w:val="0"/>
      <w:autoSpaceDE w:val="0"/>
      <w:autoSpaceDN w:val="0"/>
      <w:adjustRightInd w:val="0"/>
      <w:ind w:left="1620"/>
      <w:jc w:val="both"/>
      <w:textAlignment w:val="baseline"/>
    </w:pPr>
    <w:rPr>
      <w:color w:val="000000"/>
      <w:sz w:val="22"/>
      <w:szCs w:val="20"/>
    </w:rPr>
  </w:style>
  <w:style w:type="paragraph" w:customStyle="1" w:styleId="Style1">
    <w:name w:val="Style1"/>
    <w:basedOn w:val="Normal"/>
    <w:rsid w:val="00180FB4"/>
    <w:pPr>
      <w:tabs>
        <w:tab w:val="num" w:pos="720"/>
      </w:tabs>
      <w:overflowPunct w:val="0"/>
      <w:autoSpaceDE w:val="0"/>
      <w:autoSpaceDN w:val="0"/>
      <w:adjustRightInd w:val="0"/>
      <w:spacing w:after="240"/>
      <w:ind w:left="720" w:hanging="360"/>
      <w:jc w:val="both"/>
      <w:textAlignment w:val="baseline"/>
    </w:pPr>
  </w:style>
  <w:style w:type="paragraph" w:customStyle="1" w:styleId="BulletSetence">
    <w:name w:val="BulletSetence"/>
    <w:basedOn w:val="BulletParagraph"/>
    <w:link w:val="BulletSetenceChar"/>
    <w:rsid w:val="00180FB4"/>
    <w:pPr>
      <w:spacing w:after="120"/>
    </w:pPr>
  </w:style>
  <w:style w:type="paragraph" w:customStyle="1" w:styleId="BodyText">
    <w:name w:val="BodyText"/>
    <w:basedOn w:val="Normal"/>
    <w:link w:val="BodyTextChar"/>
    <w:rsid w:val="00104C81"/>
    <w:pPr>
      <w:jc w:val="both"/>
    </w:pPr>
  </w:style>
  <w:style w:type="paragraph" w:customStyle="1" w:styleId="TableHeaders">
    <w:name w:val="TableHeaders"/>
    <w:basedOn w:val="Normal"/>
    <w:rsid w:val="00BB08EE"/>
    <w:pPr>
      <w:tabs>
        <w:tab w:val="left" w:pos="3240"/>
        <w:tab w:val="left" w:pos="5040"/>
        <w:tab w:val="left" w:pos="7200"/>
      </w:tabs>
      <w:jc w:val="center"/>
    </w:pPr>
    <w:rPr>
      <w:rFonts w:ascii="Franklin Gothic Heavy" w:hAnsi="Franklin Gothic Heavy"/>
      <w:bCs/>
    </w:rPr>
  </w:style>
  <w:style w:type="paragraph" w:styleId="BodyText2">
    <w:name w:val="Body Text 2"/>
    <w:basedOn w:val="Normal"/>
    <w:link w:val="BodyText2Char"/>
    <w:rsid w:val="00277D7B"/>
    <w:pPr>
      <w:widowControl w:val="0"/>
      <w:overflowPunct w:val="0"/>
      <w:autoSpaceDE w:val="0"/>
      <w:autoSpaceDN w:val="0"/>
      <w:adjustRightInd w:val="0"/>
      <w:ind w:hanging="18"/>
      <w:jc w:val="both"/>
      <w:textAlignment w:val="baseline"/>
    </w:pPr>
    <w:rPr>
      <w:rFonts w:ascii="Book Antiqua" w:hAnsi="Book Antiqua"/>
      <w:kern w:val="28"/>
      <w:szCs w:val="20"/>
    </w:rPr>
  </w:style>
  <w:style w:type="paragraph" w:customStyle="1" w:styleId="Bullet1">
    <w:name w:val="Bullet 1"/>
    <w:basedOn w:val="Normal"/>
    <w:rsid w:val="00184EBD"/>
    <w:pPr>
      <w:widowControl w:val="0"/>
      <w:numPr>
        <w:numId w:val="10"/>
      </w:numPr>
      <w:overflowPunct w:val="0"/>
      <w:autoSpaceDE w:val="0"/>
      <w:autoSpaceDN w:val="0"/>
      <w:adjustRightInd w:val="0"/>
      <w:textAlignment w:val="baseline"/>
    </w:pPr>
    <w:rPr>
      <w:kern w:val="28"/>
      <w:sz w:val="20"/>
      <w:szCs w:val="20"/>
    </w:rPr>
  </w:style>
  <w:style w:type="paragraph" w:customStyle="1" w:styleId="Heading2B">
    <w:name w:val="Heading2B"/>
    <w:basedOn w:val="Normal"/>
    <w:rsid w:val="00EF7C37"/>
    <w:pPr>
      <w:keepNext/>
      <w:spacing w:after="120"/>
    </w:pPr>
    <w:rPr>
      <w:rFonts w:ascii="Arial" w:hAnsi="Arial"/>
      <w:b/>
      <w:szCs w:val="28"/>
    </w:rPr>
  </w:style>
  <w:style w:type="paragraph" w:customStyle="1" w:styleId="BulletHeader">
    <w:name w:val="BulletHeader"/>
    <w:basedOn w:val="BulletSetence"/>
    <w:rsid w:val="00856522"/>
    <w:pPr>
      <w:spacing w:after="40"/>
    </w:pPr>
    <w:rPr>
      <w:rFonts w:ascii="Times Roman" w:hAnsi="Times Roman"/>
      <w:b/>
    </w:rPr>
  </w:style>
  <w:style w:type="paragraph" w:customStyle="1" w:styleId="BulletIndent-noBullet">
    <w:name w:val="BulletIndent-noBullet"/>
    <w:basedOn w:val="Normal"/>
    <w:rsid w:val="00C466C4"/>
    <w:pPr>
      <w:tabs>
        <w:tab w:val="left" w:pos="4320"/>
      </w:tabs>
      <w:spacing w:after="20"/>
      <w:ind w:left="720"/>
      <w:jc w:val="both"/>
    </w:pPr>
  </w:style>
  <w:style w:type="paragraph" w:customStyle="1" w:styleId="Heading3ProgramSection">
    <w:name w:val="Heading3ProgramSection"/>
    <w:basedOn w:val="BodyText"/>
    <w:link w:val="Heading3ProgramSectionChar"/>
    <w:rsid w:val="0033794B"/>
    <w:pPr>
      <w:keepNext/>
      <w:spacing w:after="40"/>
    </w:pPr>
    <w:rPr>
      <w:rFonts w:ascii="Arial" w:hAnsi="Arial" w:cs="Arial"/>
      <w:b/>
      <w:i/>
      <w:u w:val="single"/>
    </w:rPr>
  </w:style>
  <w:style w:type="character" w:customStyle="1" w:styleId="Heading1Char">
    <w:name w:val="Heading 1 Char"/>
    <w:link w:val="Heading1"/>
    <w:rsid w:val="00F33758"/>
    <w:rPr>
      <w:rFonts w:ascii="Arial" w:hAnsi="Arial" w:cs="Arial"/>
      <w:b/>
      <w:sz w:val="26"/>
      <w:szCs w:val="26"/>
      <w:lang w:val="en-US" w:eastAsia="en-US" w:bidi="ar-SA"/>
    </w:rPr>
  </w:style>
  <w:style w:type="character" w:customStyle="1" w:styleId="Heading2Char">
    <w:name w:val="Heading 2 Char"/>
    <w:basedOn w:val="Heading1Char"/>
    <w:link w:val="Heading2"/>
    <w:rsid w:val="00C466C4"/>
    <w:rPr>
      <w:rFonts w:ascii="Arial" w:hAnsi="Arial" w:cs="Arial"/>
      <w:b/>
      <w:sz w:val="26"/>
      <w:szCs w:val="26"/>
      <w:lang w:val="en-US" w:eastAsia="en-US" w:bidi="ar-SA"/>
    </w:rPr>
  </w:style>
  <w:style w:type="character" w:customStyle="1" w:styleId="Heading3Char">
    <w:name w:val="Heading 3 Char"/>
    <w:link w:val="Heading3"/>
    <w:rsid w:val="00C466C4"/>
    <w:rPr>
      <w:rFonts w:ascii="Arial" w:hAnsi="Arial" w:cs="Arial"/>
      <w:b/>
      <w:i/>
      <w:sz w:val="26"/>
      <w:szCs w:val="26"/>
      <w:lang w:val="en-US" w:eastAsia="en-US" w:bidi="ar-SA"/>
    </w:rPr>
  </w:style>
  <w:style w:type="character" w:customStyle="1" w:styleId="Heading3ProgramSectionChar">
    <w:name w:val="Heading3ProgramSection Char"/>
    <w:link w:val="Heading3ProgramSection"/>
    <w:rsid w:val="0033794B"/>
    <w:rPr>
      <w:rFonts w:ascii="Arial" w:hAnsi="Arial" w:cs="Arial"/>
      <w:b/>
      <w:i/>
      <w:sz w:val="24"/>
      <w:szCs w:val="24"/>
      <w:u w:val="single"/>
      <w:lang w:val="en-US" w:eastAsia="en-US" w:bidi="ar-SA"/>
    </w:rPr>
  </w:style>
  <w:style w:type="character" w:customStyle="1" w:styleId="BodyTextChar">
    <w:name w:val="BodyText Char"/>
    <w:link w:val="BodyText"/>
    <w:rsid w:val="0033794B"/>
    <w:rPr>
      <w:sz w:val="24"/>
      <w:szCs w:val="24"/>
      <w:lang w:val="en-US" w:eastAsia="en-US" w:bidi="ar-SA"/>
    </w:rPr>
  </w:style>
  <w:style w:type="character" w:customStyle="1" w:styleId="BodyText2Char">
    <w:name w:val="Body Text 2 Char"/>
    <w:link w:val="BodyText2"/>
    <w:rsid w:val="0033794B"/>
    <w:rPr>
      <w:rFonts w:ascii="Book Antiqua" w:hAnsi="Book Antiqua"/>
      <w:kern w:val="28"/>
      <w:sz w:val="24"/>
      <w:lang w:val="en-US" w:eastAsia="en-US" w:bidi="ar-SA"/>
    </w:rPr>
  </w:style>
  <w:style w:type="paragraph" w:customStyle="1" w:styleId="EmphasisText">
    <w:name w:val="EmphasisText"/>
    <w:basedOn w:val="Normal"/>
    <w:rsid w:val="00BB08EE"/>
    <w:pPr>
      <w:keepNext/>
      <w:tabs>
        <w:tab w:val="left" w:pos="4320"/>
      </w:tabs>
      <w:spacing w:before="120"/>
      <w:jc w:val="both"/>
    </w:pPr>
    <w:rPr>
      <w:rFonts w:ascii="Franklin Gothic Heavy" w:hAnsi="Franklin Gothic Heavy"/>
    </w:rPr>
  </w:style>
  <w:style w:type="paragraph" w:customStyle="1" w:styleId="BulletSentenceSpaceBefore">
    <w:name w:val="BulletSentenceSpaceBefore"/>
    <w:basedOn w:val="BulletSetence"/>
    <w:link w:val="BulletSentenceSpaceBeforeChar"/>
    <w:rsid w:val="004B3B4A"/>
    <w:pPr>
      <w:spacing w:before="60" w:after="20"/>
    </w:pPr>
  </w:style>
  <w:style w:type="character" w:customStyle="1" w:styleId="BulletParagraphChar">
    <w:name w:val="BulletParagraph Char"/>
    <w:link w:val="BulletParagraph"/>
    <w:rsid w:val="00856522"/>
    <w:rPr>
      <w:sz w:val="24"/>
      <w:szCs w:val="24"/>
    </w:rPr>
  </w:style>
  <w:style w:type="character" w:customStyle="1" w:styleId="BulletSetenceChar">
    <w:name w:val="BulletSetence Char"/>
    <w:basedOn w:val="BulletParagraphChar"/>
    <w:link w:val="BulletSetence"/>
    <w:rsid w:val="00856522"/>
    <w:rPr>
      <w:sz w:val="24"/>
      <w:szCs w:val="24"/>
    </w:rPr>
  </w:style>
  <w:style w:type="character" w:customStyle="1" w:styleId="BulletSentenceSpaceBeforeChar">
    <w:name w:val="BulletSentenceSpaceBefore Char"/>
    <w:basedOn w:val="BulletSetenceChar"/>
    <w:link w:val="BulletSentenceSpaceBefore"/>
    <w:rsid w:val="004B3B4A"/>
    <w:rPr>
      <w:sz w:val="24"/>
      <w:szCs w:val="24"/>
    </w:rPr>
  </w:style>
  <w:style w:type="paragraph" w:customStyle="1" w:styleId="Bullet2">
    <w:name w:val="Bullet2"/>
    <w:basedOn w:val="BulletSetence"/>
    <w:link w:val="Bullet2CharChar"/>
    <w:rsid w:val="004B3B4A"/>
    <w:pPr>
      <w:numPr>
        <w:numId w:val="11"/>
      </w:numPr>
      <w:spacing w:after="0"/>
      <w:jc w:val="left"/>
    </w:pPr>
  </w:style>
  <w:style w:type="paragraph" w:customStyle="1" w:styleId="BulletPhrase">
    <w:name w:val="BulletPhrase"/>
    <w:basedOn w:val="BulletSetence"/>
    <w:rsid w:val="00A810BE"/>
    <w:pPr>
      <w:spacing w:after="60"/>
    </w:pPr>
  </w:style>
  <w:style w:type="character" w:customStyle="1" w:styleId="Bullet2CharChar">
    <w:name w:val="Bullet2 Char Char"/>
    <w:link w:val="Bullet2"/>
    <w:rsid w:val="004B3B4A"/>
    <w:rPr>
      <w:sz w:val="24"/>
      <w:szCs w:val="24"/>
      <w:lang w:val="x-none" w:eastAsia="x-none"/>
    </w:rPr>
  </w:style>
  <w:style w:type="paragraph" w:styleId="BodyText0">
    <w:name w:val="Body Text"/>
    <w:basedOn w:val="Normal"/>
    <w:rsid w:val="0053080F"/>
    <w:pPr>
      <w:spacing w:after="120"/>
    </w:pPr>
  </w:style>
  <w:style w:type="paragraph" w:styleId="BodyTextIndent2">
    <w:name w:val="Body Text Indent 2"/>
    <w:basedOn w:val="Normal"/>
    <w:rsid w:val="0053080F"/>
    <w:pPr>
      <w:spacing w:after="120" w:line="480" w:lineRule="auto"/>
      <w:ind w:left="360"/>
    </w:pPr>
  </w:style>
  <w:style w:type="paragraph" w:customStyle="1" w:styleId="oject">
    <w:name w:val="oject"/>
    <w:basedOn w:val="Normal"/>
    <w:rsid w:val="0053080F"/>
    <w:pPr>
      <w:tabs>
        <w:tab w:val="left" w:pos="720"/>
      </w:tabs>
      <w:overflowPunct w:val="0"/>
      <w:autoSpaceDE w:val="0"/>
      <w:autoSpaceDN w:val="0"/>
      <w:adjustRightInd w:val="0"/>
      <w:ind w:left="1710"/>
      <w:jc w:val="both"/>
      <w:textAlignment w:val="baseline"/>
    </w:pPr>
    <w:rPr>
      <w:szCs w:val="20"/>
    </w:rPr>
  </w:style>
  <w:style w:type="character" w:styleId="Hyperlink">
    <w:name w:val="Hyperlink"/>
    <w:uiPriority w:val="99"/>
    <w:rsid w:val="00AF4927"/>
    <w:rPr>
      <w:color w:val="0000FF"/>
      <w:u w:val="single"/>
    </w:rPr>
  </w:style>
  <w:style w:type="paragraph" w:styleId="TOC1">
    <w:name w:val="toc 1"/>
    <w:basedOn w:val="Normal"/>
    <w:next w:val="Normal"/>
    <w:autoRedefine/>
    <w:uiPriority w:val="39"/>
    <w:rsid w:val="00AF4927"/>
    <w:pPr>
      <w:spacing w:after="120"/>
    </w:pPr>
  </w:style>
  <w:style w:type="paragraph" w:styleId="TOC2">
    <w:name w:val="toc 2"/>
    <w:basedOn w:val="Normal"/>
    <w:next w:val="Normal"/>
    <w:autoRedefine/>
    <w:uiPriority w:val="39"/>
    <w:rsid w:val="00595459"/>
    <w:pPr>
      <w:tabs>
        <w:tab w:val="right" w:leader="dot" w:pos="9360"/>
      </w:tabs>
      <w:spacing w:after="120"/>
      <w:ind w:left="605"/>
    </w:pPr>
    <w:rPr>
      <w:noProof/>
    </w:rPr>
  </w:style>
  <w:style w:type="paragraph" w:styleId="TOC3">
    <w:name w:val="toc 3"/>
    <w:basedOn w:val="Normal"/>
    <w:next w:val="Normal"/>
    <w:autoRedefine/>
    <w:uiPriority w:val="39"/>
    <w:rsid w:val="000C5AA9"/>
    <w:pPr>
      <w:tabs>
        <w:tab w:val="right" w:pos="720"/>
        <w:tab w:val="right" w:leader="dot" w:pos="9360"/>
      </w:tabs>
      <w:spacing w:after="240"/>
    </w:pPr>
    <w:rPr>
      <w:noProof/>
    </w:rPr>
  </w:style>
  <w:style w:type="paragraph" w:customStyle="1" w:styleId="HeaderTOC">
    <w:name w:val="HeaderTOC"/>
    <w:basedOn w:val="Heading1"/>
    <w:rsid w:val="00AF4927"/>
  </w:style>
  <w:style w:type="paragraph" w:customStyle="1" w:styleId="Hdg3Font">
    <w:name w:val="Hdg3Font"/>
    <w:basedOn w:val="Heading3ProgramSection"/>
    <w:rsid w:val="00AA79AD"/>
    <w:pPr>
      <w:spacing w:after="0"/>
    </w:pPr>
    <w:rPr>
      <w:sz w:val="22"/>
    </w:rPr>
  </w:style>
  <w:style w:type="paragraph" w:customStyle="1" w:styleId="StyleHeading3ProgramSection">
    <w:name w:val="Style Heading3ProgramSection +"/>
    <w:basedOn w:val="Heading3ProgramSection"/>
    <w:link w:val="StyleHeading3ProgramSectionChar"/>
    <w:rsid w:val="0046320A"/>
    <w:rPr>
      <w:sz w:val="22"/>
    </w:rPr>
  </w:style>
  <w:style w:type="character" w:customStyle="1" w:styleId="StyleHeading3ProgramSectionChar">
    <w:name w:val="Style Heading3ProgramSection + Char"/>
    <w:link w:val="StyleHeading3ProgramSection"/>
    <w:rsid w:val="0046320A"/>
    <w:rPr>
      <w:rFonts w:ascii="Arial" w:hAnsi="Arial" w:cs="Arial"/>
      <w:b/>
      <w:i/>
      <w:sz w:val="22"/>
      <w:szCs w:val="24"/>
      <w:u w:val="single"/>
      <w:lang w:val="en-US" w:eastAsia="en-US" w:bidi="ar-SA"/>
    </w:rPr>
  </w:style>
  <w:style w:type="paragraph" w:customStyle="1" w:styleId="StyleBulletHeaderNotBold">
    <w:name w:val="Style BulletHeader + Not Bold"/>
    <w:basedOn w:val="BulletHeader"/>
    <w:rsid w:val="0046320A"/>
    <w:rPr>
      <w:b w:val="0"/>
    </w:rPr>
  </w:style>
  <w:style w:type="character" w:styleId="FollowedHyperlink">
    <w:name w:val="FollowedHyperlink"/>
    <w:rsid w:val="00993B9C"/>
    <w:rPr>
      <w:color w:val="800080"/>
      <w:u w:val="single"/>
    </w:rPr>
  </w:style>
  <w:style w:type="paragraph" w:customStyle="1" w:styleId="BulletedMultilinespbeforeafter">
    <w:name w:val="Bulleted Multiline sp before after"/>
    <w:basedOn w:val="Normal"/>
    <w:qFormat/>
    <w:rsid w:val="00747A94"/>
    <w:pPr>
      <w:numPr>
        <w:numId w:val="8"/>
      </w:numPr>
      <w:tabs>
        <w:tab w:val="clear" w:pos="1080"/>
        <w:tab w:val="num" w:pos="720"/>
      </w:tabs>
      <w:overflowPunct w:val="0"/>
      <w:autoSpaceDE w:val="0"/>
      <w:autoSpaceDN w:val="0"/>
      <w:adjustRightInd w:val="0"/>
      <w:spacing w:before="120" w:after="240"/>
      <w:ind w:hanging="360"/>
      <w:jc w:val="both"/>
      <w:textAlignment w:val="baseline"/>
    </w:pPr>
  </w:style>
  <w:style w:type="paragraph" w:customStyle="1" w:styleId="Bulletedsgl-multlinespbeforeafter">
    <w:name w:val="Bulleted sgl-mult line sp before after"/>
    <w:basedOn w:val="BulletedMultilinespbeforeafter"/>
    <w:qFormat/>
    <w:rsid w:val="00747A94"/>
    <w:pPr>
      <w:spacing w:after="120"/>
    </w:pPr>
  </w:style>
  <w:style w:type="paragraph" w:customStyle="1" w:styleId="BulletedScoringCriteria">
    <w:name w:val="Bulleted Scoring Criteria"/>
    <w:basedOn w:val="Bulletedsgl-multlinespbeforeafter"/>
    <w:qFormat/>
    <w:rsid w:val="00747A94"/>
    <w:pPr>
      <w:tabs>
        <w:tab w:val="clear" w:pos="720"/>
        <w:tab w:val="num" w:pos="1080"/>
      </w:tabs>
      <w:spacing w:before="60" w:after="20"/>
      <w:ind w:firstLine="0"/>
    </w:pPr>
  </w:style>
  <w:style w:type="paragraph" w:styleId="ListParagraph">
    <w:name w:val="List Paragraph"/>
    <w:basedOn w:val="Normal"/>
    <w:uiPriority w:val="34"/>
    <w:qFormat/>
    <w:rsid w:val="00941A85"/>
    <w:pPr>
      <w:ind w:left="720"/>
    </w:pPr>
  </w:style>
  <w:style w:type="paragraph" w:styleId="BalloonText">
    <w:name w:val="Balloon Text"/>
    <w:basedOn w:val="Normal"/>
    <w:link w:val="BalloonTextChar"/>
    <w:rsid w:val="00404A16"/>
    <w:rPr>
      <w:rFonts w:ascii="Tahoma" w:hAnsi="Tahoma"/>
      <w:sz w:val="16"/>
      <w:szCs w:val="16"/>
      <w:lang w:val="x-none" w:eastAsia="x-none"/>
    </w:rPr>
  </w:style>
  <w:style w:type="character" w:customStyle="1" w:styleId="BalloonTextChar">
    <w:name w:val="Balloon Text Char"/>
    <w:link w:val="BalloonText"/>
    <w:rsid w:val="00404A16"/>
    <w:rPr>
      <w:rFonts w:ascii="Tahoma" w:hAnsi="Tahoma" w:cs="Tahoma"/>
      <w:sz w:val="16"/>
      <w:szCs w:val="16"/>
    </w:rPr>
  </w:style>
  <w:style w:type="character" w:styleId="CommentReference">
    <w:name w:val="annotation reference"/>
    <w:rsid w:val="00BD4C2C"/>
    <w:rPr>
      <w:sz w:val="16"/>
      <w:szCs w:val="16"/>
    </w:rPr>
  </w:style>
  <w:style w:type="paragraph" w:styleId="CommentText">
    <w:name w:val="annotation text"/>
    <w:basedOn w:val="Normal"/>
    <w:link w:val="CommentTextChar"/>
    <w:rsid w:val="00BD4C2C"/>
    <w:rPr>
      <w:sz w:val="20"/>
      <w:szCs w:val="20"/>
    </w:rPr>
  </w:style>
  <w:style w:type="character" w:customStyle="1" w:styleId="CommentTextChar">
    <w:name w:val="Comment Text Char"/>
    <w:basedOn w:val="DefaultParagraphFont"/>
    <w:link w:val="CommentText"/>
    <w:rsid w:val="00BD4C2C"/>
  </w:style>
  <w:style w:type="paragraph" w:styleId="CommentSubject">
    <w:name w:val="annotation subject"/>
    <w:basedOn w:val="CommentText"/>
    <w:next w:val="CommentText"/>
    <w:link w:val="CommentSubjectChar"/>
    <w:rsid w:val="00BD4C2C"/>
    <w:rPr>
      <w:b/>
      <w:bCs/>
      <w:lang w:val="x-none" w:eastAsia="x-none"/>
    </w:rPr>
  </w:style>
  <w:style w:type="character" w:customStyle="1" w:styleId="CommentSubjectChar">
    <w:name w:val="Comment Subject Char"/>
    <w:link w:val="CommentSubject"/>
    <w:rsid w:val="00BD4C2C"/>
    <w:rPr>
      <w:b/>
      <w:bCs/>
    </w:rPr>
  </w:style>
  <w:style w:type="paragraph" w:customStyle="1" w:styleId="ScoreBulletMain">
    <w:name w:val="Score Bullet Main"/>
    <w:basedOn w:val="BulletedScoringCriteria"/>
    <w:qFormat/>
    <w:rsid w:val="0057630D"/>
    <w:pPr>
      <w:tabs>
        <w:tab w:val="clear" w:pos="1080"/>
        <w:tab w:val="num" w:pos="720"/>
      </w:tabs>
      <w:ind w:hanging="360"/>
    </w:pPr>
  </w:style>
  <w:style w:type="paragraph" w:customStyle="1" w:styleId="ScoreBulletSub">
    <w:name w:val="Score Bullet Sub"/>
    <w:basedOn w:val="Bullet2"/>
    <w:qFormat/>
    <w:rsid w:val="0057630D"/>
    <w:pPr>
      <w:tabs>
        <w:tab w:val="clear" w:pos="1440"/>
        <w:tab w:val="num" w:pos="1200"/>
      </w:tabs>
      <w:spacing w:before="20" w:after="20"/>
      <w:ind w:left="1200"/>
    </w:pPr>
  </w:style>
  <w:style w:type="paragraph" w:customStyle="1" w:styleId="ScoreHeader">
    <w:name w:val="Score Header"/>
    <w:basedOn w:val="EmphasisText"/>
    <w:qFormat/>
    <w:rsid w:val="002046BF"/>
    <w:pPr>
      <w:spacing w:before="360"/>
    </w:pPr>
  </w:style>
  <w:style w:type="paragraph" w:styleId="Revision">
    <w:name w:val="Revision"/>
    <w:hidden/>
    <w:uiPriority w:val="99"/>
    <w:semiHidden/>
    <w:rsid w:val="00EB3A02"/>
    <w:rPr>
      <w:sz w:val="24"/>
      <w:szCs w:val="24"/>
      <w:lang w:eastAsia="en-US"/>
    </w:rPr>
  </w:style>
  <w:style w:type="character" w:customStyle="1" w:styleId="normaltextrun">
    <w:name w:val="normaltextrun"/>
    <w:basedOn w:val="DefaultParagraphFont"/>
    <w:rsid w:val="00D46A58"/>
  </w:style>
  <w:style w:type="character" w:styleId="UnresolvedMention">
    <w:name w:val="Unresolved Mention"/>
    <w:basedOn w:val="DefaultParagraphFont"/>
    <w:uiPriority w:val="99"/>
    <w:semiHidden/>
    <w:unhideWhenUsed/>
    <w:rsid w:val="003C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21636">
      <w:bodyDiv w:val="1"/>
      <w:marLeft w:val="0"/>
      <w:marRight w:val="0"/>
      <w:marTop w:val="0"/>
      <w:marBottom w:val="0"/>
      <w:divBdr>
        <w:top w:val="none" w:sz="0" w:space="0" w:color="auto"/>
        <w:left w:val="none" w:sz="0" w:space="0" w:color="auto"/>
        <w:bottom w:val="none" w:sz="0" w:space="0" w:color="auto"/>
        <w:right w:val="none" w:sz="0" w:space="0" w:color="auto"/>
      </w:divBdr>
    </w:div>
    <w:div w:id="287707626">
      <w:bodyDiv w:val="1"/>
      <w:marLeft w:val="0"/>
      <w:marRight w:val="0"/>
      <w:marTop w:val="0"/>
      <w:marBottom w:val="0"/>
      <w:divBdr>
        <w:top w:val="none" w:sz="0" w:space="0" w:color="auto"/>
        <w:left w:val="none" w:sz="0" w:space="0" w:color="auto"/>
        <w:bottom w:val="none" w:sz="0" w:space="0" w:color="auto"/>
        <w:right w:val="none" w:sz="0" w:space="0" w:color="auto"/>
      </w:divBdr>
    </w:div>
    <w:div w:id="575166458">
      <w:bodyDiv w:val="1"/>
      <w:marLeft w:val="0"/>
      <w:marRight w:val="0"/>
      <w:marTop w:val="0"/>
      <w:marBottom w:val="0"/>
      <w:divBdr>
        <w:top w:val="none" w:sz="0" w:space="0" w:color="auto"/>
        <w:left w:val="none" w:sz="0" w:space="0" w:color="auto"/>
        <w:bottom w:val="none" w:sz="0" w:space="0" w:color="auto"/>
        <w:right w:val="none" w:sz="0" w:space="0" w:color="auto"/>
      </w:divBdr>
    </w:div>
    <w:div w:id="763065740">
      <w:bodyDiv w:val="1"/>
      <w:marLeft w:val="0"/>
      <w:marRight w:val="0"/>
      <w:marTop w:val="0"/>
      <w:marBottom w:val="0"/>
      <w:divBdr>
        <w:top w:val="none" w:sz="0" w:space="0" w:color="auto"/>
        <w:left w:val="none" w:sz="0" w:space="0" w:color="auto"/>
        <w:bottom w:val="none" w:sz="0" w:space="0" w:color="auto"/>
        <w:right w:val="none" w:sz="0" w:space="0" w:color="auto"/>
      </w:divBdr>
    </w:div>
    <w:div w:id="821506814">
      <w:bodyDiv w:val="1"/>
      <w:marLeft w:val="0"/>
      <w:marRight w:val="0"/>
      <w:marTop w:val="0"/>
      <w:marBottom w:val="0"/>
      <w:divBdr>
        <w:top w:val="none" w:sz="0" w:space="0" w:color="auto"/>
        <w:left w:val="none" w:sz="0" w:space="0" w:color="auto"/>
        <w:bottom w:val="none" w:sz="0" w:space="0" w:color="auto"/>
        <w:right w:val="none" w:sz="0" w:space="0" w:color="auto"/>
      </w:divBdr>
    </w:div>
    <w:div w:id="1405107753">
      <w:bodyDiv w:val="1"/>
      <w:marLeft w:val="0"/>
      <w:marRight w:val="0"/>
      <w:marTop w:val="0"/>
      <w:marBottom w:val="0"/>
      <w:divBdr>
        <w:top w:val="none" w:sz="0" w:space="0" w:color="auto"/>
        <w:left w:val="none" w:sz="0" w:space="0" w:color="auto"/>
        <w:bottom w:val="none" w:sz="0" w:space="0" w:color="auto"/>
        <w:right w:val="none" w:sz="0" w:space="0" w:color="auto"/>
      </w:divBdr>
    </w:div>
    <w:div w:id="1452826660">
      <w:bodyDiv w:val="1"/>
      <w:marLeft w:val="0"/>
      <w:marRight w:val="0"/>
      <w:marTop w:val="0"/>
      <w:marBottom w:val="0"/>
      <w:divBdr>
        <w:top w:val="none" w:sz="0" w:space="0" w:color="auto"/>
        <w:left w:val="none" w:sz="0" w:space="0" w:color="auto"/>
        <w:bottom w:val="none" w:sz="0" w:space="0" w:color="auto"/>
        <w:right w:val="none" w:sz="0" w:space="0" w:color="auto"/>
      </w:divBdr>
    </w:div>
    <w:div w:id="1755933710">
      <w:bodyDiv w:val="1"/>
      <w:marLeft w:val="0"/>
      <w:marRight w:val="0"/>
      <w:marTop w:val="0"/>
      <w:marBottom w:val="0"/>
      <w:divBdr>
        <w:top w:val="none" w:sz="0" w:space="0" w:color="auto"/>
        <w:left w:val="none" w:sz="0" w:space="0" w:color="auto"/>
        <w:bottom w:val="none" w:sz="0" w:space="0" w:color="auto"/>
        <w:right w:val="none" w:sz="0" w:space="0" w:color="auto"/>
      </w:divBdr>
    </w:div>
    <w:div w:id="1844667664">
      <w:bodyDiv w:val="1"/>
      <w:marLeft w:val="0"/>
      <w:marRight w:val="0"/>
      <w:marTop w:val="0"/>
      <w:marBottom w:val="0"/>
      <w:divBdr>
        <w:top w:val="none" w:sz="0" w:space="0" w:color="auto"/>
        <w:left w:val="none" w:sz="0" w:space="0" w:color="auto"/>
        <w:bottom w:val="none" w:sz="0" w:space="0" w:color="auto"/>
        <w:right w:val="none" w:sz="0" w:space="0" w:color="auto"/>
      </w:divBdr>
    </w:div>
    <w:div w:id="1902717925">
      <w:bodyDiv w:val="1"/>
      <w:marLeft w:val="0"/>
      <w:marRight w:val="0"/>
      <w:marTop w:val="0"/>
      <w:marBottom w:val="0"/>
      <w:divBdr>
        <w:top w:val="none" w:sz="0" w:space="0" w:color="auto"/>
        <w:left w:val="none" w:sz="0" w:space="0" w:color="auto"/>
        <w:bottom w:val="none" w:sz="0" w:space="0" w:color="auto"/>
        <w:right w:val="none" w:sz="0" w:space="0" w:color="auto"/>
      </w:divBdr>
    </w:div>
    <w:div w:id="1984963226">
      <w:bodyDiv w:val="1"/>
      <w:marLeft w:val="0"/>
      <w:marRight w:val="0"/>
      <w:marTop w:val="0"/>
      <w:marBottom w:val="0"/>
      <w:divBdr>
        <w:top w:val="none" w:sz="0" w:space="0" w:color="auto"/>
        <w:left w:val="none" w:sz="0" w:space="0" w:color="auto"/>
        <w:bottom w:val="none" w:sz="0" w:space="0" w:color="auto"/>
        <w:right w:val="none" w:sz="0" w:space="0" w:color="auto"/>
      </w:divBdr>
    </w:div>
    <w:div w:id="21073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butler@sccommerce.com" TargetMode="External"/><Relationship Id="rId18" Type="http://schemas.openxmlformats.org/officeDocument/2006/relationships/hyperlink" Target="mailto:sc-cdbg@sccommerc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dbgSC.com" TargetMode="External"/><Relationship Id="rId17" Type="http://schemas.openxmlformats.org/officeDocument/2006/relationships/hyperlink" Target="http://www.cdbgSC.com" TargetMode="External"/><Relationship Id="rId2" Type="http://schemas.openxmlformats.org/officeDocument/2006/relationships/customXml" Target="../customXml/item2.xml"/><Relationship Id="rId16" Type="http://schemas.openxmlformats.org/officeDocument/2006/relationships/hyperlink" Target="http://www.cdbgsc.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pportunityzon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2E70961861E64DAB0DC6165F6DAEE1" ma:contentTypeVersion="15" ma:contentTypeDescription="Create a new document." ma:contentTypeScope="" ma:versionID="8bc1a2ae951795d443bf61a8cba1f5b9">
  <xsd:schema xmlns:xsd="http://www.w3.org/2001/XMLSchema" xmlns:xs="http://www.w3.org/2001/XMLSchema" xmlns:p="http://schemas.microsoft.com/office/2006/metadata/properties" xmlns:ns2="70b654de-c280-42b2-8774-1668d84e2de0" xmlns:ns3="a38999bf-75a0-4f1c-abe7-f2735e49a70e" targetNamespace="http://schemas.microsoft.com/office/2006/metadata/properties" ma:root="true" ma:fieldsID="ba9d86ad4a401eef90999b76f651e5f0" ns2:_="" ns3:_="">
    <xsd:import namespace="70b654de-c280-42b2-8774-1668d84e2de0"/>
    <xsd:import namespace="a38999bf-75a0-4f1c-abe7-f2735e49a7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654de-c280-42b2-8774-1668d84e2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92ef52-3311-4344-8b56-09767279121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999bf-75a0-4f1c-abe7-f2735e49a7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fb0a25-b8ae-412f-b8af-fd911a8622df}" ma:internalName="TaxCatchAll" ma:showField="CatchAllData" ma:web="a38999bf-75a0-4f1c-abe7-f2735e49a7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b654de-c280-42b2-8774-1668d84e2de0">
      <Terms xmlns="http://schemas.microsoft.com/office/infopath/2007/PartnerControls"/>
    </lcf76f155ced4ddcb4097134ff3c332f>
    <TaxCatchAll xmlns="a38999bf-75a0-4f1c-abe7-f2735e49a70e" xsi:nil="true"/>
    <SharedWithUsers xmlns="a38999bf-75a0-4f1c-abe7-f2735e49a70e">
      <UserInfo>
        <DisplayName>Ross, Liese</DisplayName>
        <AccountId>15</AccountId>
        <AccountType/>
      </UserInfo>
    </SharedWithUsers>
  </documentManagement>
</p:properties>
</file>

<file path=customXml/itemProps1.xml><?xml version="1.0" encoding="utf-8"?>
<ds:datastoreItem xmlns:ds="http://schemas.openxmlformats.org/officeDocument/2006/customXml" ds:itemID="{370DE453-B0DB-4503-A5AE-B1A4AD6ABEF9}">
  <ds:schemaRefs>
    <ds:schemaRef ds:uri="http://schemas.openxmlformats.org/officeDocument/2006/bibliography"/>
  </ds:schemaRefs>
</ds:datastoreItem>
</file>

<file path=customXml/itemProps2.xml><?xml version="1.0" encoding="utf-8"?>
<ds:datastoreItem xmlns:ds="http://schemas.openxmlformats.org/officeDocument/2006/customXml" ds:itemID="{944BD703-031D-4192-97C1-52B92A34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654de-c280-42b2-8774-1668d84e2de0"/>
    <ds:schemaRef ds:uri="a38999bf-75a0-4f1c-abe7-f2735e49a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7A15D-958E-476B-A668-FBF091CCE8D8}">
  <ds:schemaRefs>
    <ds:schemaRef ds:uri="http://schemas.microsoft.com/sharepoint/v3/contenttype/forms"/>
  </ds:schemaRefs>
</ds:datastoreItem>
</file>

<file path=customXml/itemProps4.xml><?xml version="1.0" encoding="utf-8"?>
<ds:datastoreItem xmlns:ds="http://schemas.openxmlformats.org/officeDocument/2006/customXml" ds:itemID="{66042662-69B7-4BA5-982B-2B858DF8DDD3}">
  <ds:schemaRefs>
    <ds:schemaRef ds:uri="http://schemas.microsoft.com/office/2006/metadata/properties"/>
    <ds:schemaRef ds:uri="http://schemas.microsoft.com/office/infopath/2007/PartnerControls"/>
    <ds:schemaRef ds:uri="70b654de-c280-42b2-8774-1668d84e2de0"/>
    <ds:schemaRef ds:uri="a38999bf-75a0-4f1c-abe7-f2735e49a70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10961</Words>
  <Characters>62481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Community Development</vt:lpstr>
    </vt:vector>
  </TitlesOfParts>
  <Company>SCDOC</Company>
  <LinksUpToDate>false</LinksUpToDate>
  <CharactersWithSpaces>73296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dc:title>
  <dc:subject/>
  <dc:creator>SCDOC</dc:creator>
  <cp:keywords/>
  <cp:lastModifiedBy>Huff, Lisa</cp:lastModifiedBy>
  <cp:revision>7</cp:revision>
  <cp:lastPrinted>2020-01-03T17:22:00Z</cp:lastPrinted>
  <dcterms:created xsi:type="dcterms:W3CDTF">2024-07-05T13:25:00Z</dcterms:created>
  <dcterms:modified xsi:type="dcterms:W3CDTF">2024-12-12T18:36:00Z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0x010100392E70961861E64DAB0DC6165F6DAEE1</vt:lpwstr>
  </property>
</Properties>
</file>